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19" w:rsidRDefault="00F12619" w:rsidP="00F12619">
      <w:pPr>
        <w:ind w:left="1260"/>
        <w:rPr>
          <w:sz w:val="28"/>
          <w:szCs w:val="28"/>
        </w:rPr>
      </w:pPr>
      <w:bookmarkStart w:id="0" w:name="_GoBack"/>
    </w:p>
    <w:p w:rsidR="00F12619" w:rsidRDefault="00F12619" w:rsidP="00F12619">
      <w:pPr>
        <w:ind w:left="1260"/>
        <w:rPr>
          <w:rFonts w:ascii="HelveticaNeueLT Std Med" w:hAnsi="HelveticaNeueLT Std Med"/>
          <w:sz w:val="28"/>
          <w:szCs w:val="28"/>
        </w:rPr>
      </w:pPr>
      <w:proofErr w:type="gramStart"/>
      <w:r w:rsidRPr="008E2E44">
        <w:rPr>
          <w:sz w:val="28"/>
          <w:szCs w:val="28"/>
        </w:rPr>
        <w:t>integrated</w:t>
      </w:r>
      <w:proofErr w:type="gramEnd"/>
      <w:r w:rsidRPr="008E2E44">
        <w:rPr>
          <w:sz w:val="28"/>
          <w:szCs w:val="28"/>
        </w:rPr>
        <w:t xml:space="preserve"> safety </w:t>
      </w:r>
      <w:r w:rsidRPr="008E2E44">
        <w:rPr>
          <w:rFonts w:ascii="HelveticaNeueLT Std Med" w:hAnsi="HelveticaNeueLT Std Med"/>
          <w:sz w:val="28"/>
          <w:szCs w:val="28"/>
        </w:rPr>
        <w:t>Standard Operating Practices</w:t>
      </w:r>
    </w:p>
    <w:p w:rsidR="00F12619" w:rsidRDefault="00F12619" w:rsidP="00F12619">
      <w:pPr>
        <w:ind w:left="1260"/>
      </w:pPr>
    </w:p>
    <w:p w:rsidR="00301DBB" w:rsidRDefault="00301DBB" w:rsidP="000C4A57">
      <w:pPr>
        <w:ind w:left="153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68"/>
      </w:tblGrid>
      <w:tr w:rsidR="00592BB8" w:rsidTr="00F12619">
        <w:trPr>
          <w:trHeight w:val="397"/>
        </w:trPr>
        <w:tc>
          <w:tcPr>
            <w:tcW w:w="9990" w:type="dxa"/>
            <w:gridSpan w:val="2"/>
            <w:shd w:val="clear" w:color="auto" w:fill="auto"/>
            <w:vAlign w:val="center"/>
          </w:tcPr>
          <w:bookmarkEnd w:id="0"/>
          <w:p w:rsidR="00592BB8" w:rsidRPr="00592BB8" w:rsidRDefault="00592BB8" w:rsidP="00592BB8">
            <w:pPr>
              <w:pStyle w:val="Heading3"/>
              <w:ind w:left="-18"/>
            </w:pPr>
            <w:r w:rsidRPr="00592BB8">
              <w:t>General Information</w:t>
            </w:r>
          </w:p>
        </w:tc>
      </w:tr>
      <w:tr w:rsidR="00592BB8" w:rsidRPr="00592BB8" w:rsidTr="00F12619">
        <w:trPr>
          <w:trHeight w:val="397"/>
        </w:trPr>
        <w:tc>
          <w:tcPr>
            <w:tcW w:w="4622" w:type="dxa"/>
            <w:shd w:val="clear" w:color="auto" w:fill="auto"/>
            <w:vAlign w:val="bottom"/>
          </w:tcPr>
          <w:p w:rsidR="00592BB8" w:rsidRPr="00592BB8" w:rsidRDefault="00592BB8" w:rsidP="00592BB8">
            <w:pPr>
              <w:rPr>
                <w:szCs w:val="20"/>
              </w:rPr>
            </w:pPr>
            <w:r w:rsidRPr="00592BB8">
              <w:rPr>
                <w:szCs w:val="20"/>
              </w:rPr>
              <w:t>SOP number</w:t>
            </w:r>
          </w:p>
        </w:tc>
        <w:tc>
          <w:tcPr>
            <w:tcW w:w="5368" w:type="dxa"/>
            <w:shd w:val="clear" w:color="auto" w:fill="auto"/>
            <w:vAlign w:val="bottom"/>
          </w:tcPr>
          <w:p w:rsidR="00592BB8" w:rsidRPr="00592BB8" w:rsidRDefault="00592BB8" w:rsidP="00592BB8">
            <w:pPr>
              <w:rPr>
                <w:szCs w:val="20"/>
              </w:rPr>
            </w:pPr>
            <w:r w:rsidRPr="00592BB8">
              <w:rPr>
                <w:szCs w:val="20"/>
              </w:rPr>
              <w:t>Written by:</w:t>
            </w:r>
          </w:p>
        </w:tc>
      </w:tr>
      <w:tr w:rsidR="00592BB8" w:rsidRPr="00592BB8" w:rsidTr="00F12619">
        <w:trPr>
          <w:trHeight w:val="397"/>
        </w:trPr>
        <w:tc>
          <w:tcPr>
            <w:tcW w:w="4622" w:type="dxa"/>
            <w:shd w:val="clear" w:color="auto" w:fill="auto"/>
            <w:vAlign w:val="bottom"/>
          </w:tcPr>
          <w:p w:rsidR="00592BB8" w:rsidRPr="00592BB8" w:rsidRDefault="00592BB8" w:rsidP="00592BB8">
            <w:pPr>
              <w:rPr>
                <w:szCs w:val="20"/>
              </w:rPr>
            </w:pPr>
            <w:r w:rsidRPr="00592BB8">
              <w:rPr>
                <w:szCs w:val="20"/>
              </w:rPr>
              <w:t>Date effective: 21 03 14</w:t>
            </w:r>
          </w:p>
        </w:tc>
        <w:tc>
          <w:tcPr>
            <w:tcW w:w="5368" w:type="dxa"/>
            <w:shd w:val="clear" w:color="auto" w:fill="auto"/>
            <w:vAlign w:val="bottom"/>
          </w:tcPr>
          <w:p w:rsidR="00592BB8" w:rsidRPr="00592BB8" w:rsidRDefault="00592BB8" w:rsidP="00592BB8">
            <w:pPr>
              <w:rPr>
                <w:szCs w:val="20"/>
              </w:rPr>
            </w:pPr>
            <w:r w:rsidRPr="00592BB8">
              <w:rPr>
                <w:szCs w:val="20"/>
              </w:rPr>
              <w:t>Last modified: 08 09 14</w:t>
            </w:r>
          </w:p>
        </w:tc>
      </w:tr>
      <w:tr w:rsidR="00592BB8" w:rsidRPr="00592BB8" w:rsidTr="00F12619">
        <w:trPr>
          <w:trHeight w:val="397"/>
        </w:trPr>
        <w:tc>
          <w:tcPr>
            <w:tcW w:w="9990" w:type="dxa"/>
            <w:gridSpan w:val="2"/>
            <w:shd w:val="clear" w:color="auto" w:fill="auto"/>
            <w:vAlign w:val="bottom"/>
          </w:tcPr>
          <w:p w:rsidR="00592BB8" w:rsidRPr="00592BB8" w:rsidRDefault="00592BB8" w:rsidP="00592BB8">
            <w:pPr>
              <w:rPr>
                <w:szCs w:val="20"/>
              </w:rPr>
            </w:pPr>
            <w:r w:rsidRPr="00592BB8">
              <w:rPr>
                <w:szCs w:val="20"/>
              </w:rPr>
              <w:t>Job task: Operation of Air Seeders</w:t>
            </w:r>
          </w:p>
        </w:tc>
      </w:tr>
      <w:tr w:rsidR="00592BB8" w:rsidRPr="00592BB8" w:rsidTr="00F12619">
        <w:trPr>
          <w:trHeight w:val="397"/>
        </w:trPr>
        <w:tc>
          <w:tcPr>
            <w:tcW w:w="4622" w:type="dxa"/>
            <w:shd w:val="clear" w:color="auto" w:fill="auto"/>
            <w:vAlign w:val="bottom"/>
          </w:tcPr>
          <w:p w:rsidR="00592BB8" w:rsidRPr="00592BB8" w:rsidRDefault="00592BB8" w:rsidP="00592BB8">
            <w:pPr>
              <w:rPr>
                <w:szCs w:val="20"/>
              </w:rPr>
            </w:pPr>
            <w:r w:rsidRPr="00592BB8">
              <w:rPr>
                <w:szCs w:val="20"/>
              </w:rPr>
              <w:t>Location: Yard, Road Transport, Field</w:t>
            </w:r>
          </w:p>
        </w:tc>
        <w:tc>
          <w:tcPr>
            <w:tcW w:w="5368" w:type="dxa"/>
            <w:shd w:val="clear" w:color="auto" w:fill="auto"/>
            <w:vAlign w:val="bottom"/>
          </w:tcPr>
          <w:p w:rsidR="00592BB8" w:rsidRPr="00592BB8" w:rsidRDefault="00592BB8" w:rsidP="00592BB8">
            <w:pPr>
              <w:rPr>
                <w:szCs w:val="20"/>
              </w:rPr>
            </w:pPr>
            <w:r w:rsidRPr="00592BB8">
              <w:rPr>
                <w:szCs w:val="20"/>
              </w:rPr>
              <w:t xml:space="preserve">No of employees performing job: 3 </w:t>
            </w:r>
          </w:p>
        </w:tc>
      </w:tr>
    </w:tbl>
    <w:p w:rsidR="00592BB8" w:rsidRDefault="00592BB8" w:rsidP="00E93099">
      <w:pPr>
        <w:spacing w:before="0" w:after="0"/>
        <w:ind w:left="1440"/>
        <w:rPr>
          <w:szCs w:val="20"/>
        </w:rPr>
      </w:pPr>
    </w:p>
    <w:p w:rsidR="00F12619" w:rsidRPr="00592BB8" w:rsidRDefault="00F12619" w:rsidP="00E93099">
      <w:pPr>
        <w:spacing w:before="0" w:after="0"/>
        <w:ind w:left="1440"/>
        <w:rPr>
          <w:szCs w:val="20"/>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13"/>
        <w:gridCol w:w="7158"/>
      </w:tblGrid>
      <w:tr w:rsidR="00592BB8" w:rsidRPr="00277BE7" w:rsidTr="00F12619">
        <w:tc>
          <w:tcPr>
            <w:tcW w:w="9971" w:type="dxa"/>
            <w:gridSpan w:val="2"/>
            <w:shd w:val="clear" w:color="auto" w:fill="auto"/>
            <w:vAlign w:val="center"/>
          </w:tcPr>
          <w:p w:rsidR="00592BB8" w:rsidRDefault="00592BB8" w:rsidP="00592BB8">
            <w:pPr>
              <w:pStyle w:val="Heading3"/>
            </w:pPr>
            <w:r w:rsidRPr="00277BE7">
              <w:t>Responsibilities</w:t>
            </w:r>
          </w:p>
          <w:p w:rsidR="00592BB8" w:rsidRPr="00592BB8" w:rsidRDefault="00592BB8" w:rsidP="00592BB8">
            <w:pPr>
              <w:pStyle w:val="Heading1"/>
            </w:pPr>
            <w:r>
              <w:t>(W</w:t>
            </w:r>
            <w:r w:rsidRPr="00277BE7">
              <w:t>ho is responsible for each aspect of the job)</w:t>
            </w:r>
          </w:p>
        </w:tc>
      </w:tr>
      <w:tr w:rsidR="00592BB8" w:rsidRPr="00CA6227" w:rsidTr="00F12619">
        <w:tc>
          <w:tcPr>
            <w:tcW w:w="2813" w:type="dxa"/>
            <w:shd w:val="clear" w:color="auto" w:fill="auto"/>
          </w:tcPr>
          <w:p w:rsidR="00592BB8" w:rsidRPr="00CA6227" w:rsidRDefault="00592BB8" w:rsidP="00592BB8">
            <w:pPr>
              <w:pStyle w:val="Heading1"/>
            </w:pPr>
            <w:r w:rsidRPr="00CA6227">
              <w:t>Position</w:t>
            </w:r>
          </w:p>
        </w:tc>
        <w:tc>
          <w:tcPr>
            <w:tcW w:w="7158" w:type="dxa"/>
            <w:shd w:val="clear" w:color="auto" w:fill="auto"/>
          </w:tcPr>
          <w:p w:rsidR="00592BB8" w:rsidRPr="00CA6227" w:rsidRDefault="00592BB8" w:rsidP="00592BB8">
            <w:pPr>
              <w:pStyle w:val="Heading1"/>
            </w:pPr>
            <w:r w:rsidRPr="00CA6227">
              <w:t>Duties</w:t>
            </w:r>
          </w:p>
        </w:tc>
      </w:tr>
      <w:tr w:rsidR="00592BB8" w:rsidTr="00F12619">
        <w:tc>
          <w:tcPr>
            <w:tcW w:w="2813" w:type="dxa"/>
            <w:shd w:val="clear" w:color="auto" w:fill="auto"/>
          </w:tcPr>
          <w:p w:rsidR="00592BB8" w:rsidRDefault="00592BB8" w:rsidP="00592BB8">
            <w:r>
              <w:t>Employer</w:t>
            </w:r>
          </w:p>
        </w:tc>
        <w:tc>
          <w:tcPr>
            <w:tcW w:w="7158" w:type="dxa"/>
            <w:shd w:val="clear" w:color="auto" w:fill="auto"/>
          </w:tcPr>
          <w:p w:rsidR="00592BB8" w:rsidRDefault="00592BB8" w:rsidP="00592BB8">
            <w:r>
              <w:t>To provide safe equipment, facilities, training and supervision.</w:t>
            </w:r>
          </w:p>
        </w:tc>
      </w:tr>
      <w:tr w:rsidR="00592BB8" w:rsidTr="00F12619">
        <w:tc>
          <w:tcPr>
            <w:tcW w:w="2813" w:type="dxa"/>
            <w:shd w:val="clear" w:color="auto" w:fill="auto"/>
          </w:tcPr>
          <w:p w:rsidR="00592BB8" w:rsidRDefault="00592BB8" w:rsidP="00592BB8">
            <w:r>
              <w:t>Workers</w:t>
            </w:r>
          </w:p>
        </w:tc>
        <w:tc>
          <w:tcPr>
            <w:tcW w:w="7158" w:type="dxa"/>
            <w:shd w:val="clear" w:color="auto" w:fill="auto"/>
          </w:tcPr>
          <w:p w:rsidR="00592BB8" w:rsidRDefault="00592BB8" w:rsidP="00592BB8">
            <w:r>
              <w:t xml:space="preserve">To follow the safe work practices as directed by the employer or supervisor for the given task.  Inform your employer or supervisor of potential hazards that become evident.  </w:t>
            </w:r>
          </w:p>
        </w:tc>
      </w:tr>
      <w:tr w:rsidR="00592BB8" w:rsidTr="00F12619">
        <w:tc>
          <w:tcPr>
            <w:tcW w:w="2813" w:type="dxa"/>
            <w:shd w:val="clear" w:color="auto" w:fill="auto"/>
          </w:tcPr>
          <w:p w:rsidR="00592BB8" w:rsidRDefault="00592BB8" w:rsidP="00592BB8">
            <w:r>
              <w:t xml:space="preserve">Tractor/air seeder Operators </w:t>
            </w:r>
          </w:p>
        </w:tc>
        <w:tc>
          <w:tcPr>
            <w:tcW w:w="7158" w:type="dxa"/>
            <w:shd w:val="clear" w:color="auto" w:fill="auto"/>
          </w:tcPr>
          <w:p w:rsidR="00592BB8" w:rsidRDefault="00592BB8" w:rsidP="00592BB8">
            <w:r>
              <w:t xml:space="preserve">Fuel tractor, grease and maintain tractor and air seeder, hook up anhydrous tanks, load seeder with seed and fertilizer, perform maintenance on equipment </w:t>
            </w:r>
          </w:p>
        </w:tc>
      </w:tr>
      <w:tr w:rsidR="00592BB8" w:rsidTr="00F12619">
        <w:trPr>
          <w:trHeight w:val="585"/>
        </w:trPr>
        <w:tc>
          <w:tcPr>
            <w:tcW w:w="2813" w:type="dxa"/>
            <w:shd w:val="clear" w:color="auto" w:fill="auto"/>
          </w:tcPr>
          <w:p w:rsidR="00592BB8" w:rsidRDefault="00592BB8" w:rsidP="00592BB8">
            <w:r>
              <w:t xml:space="preserve">Tandem truck operator </w:t>
            </w:r>
          </w:p>
        </w:tc>
        <w:tc>
          <w:tcPr>
            <w:tcW w:w="7158" w:type="dxa"/>
            <w:shd w:val="clear" w:color="auto" w:fill="auto"/>
          </w:tcPr>
          <w:p w:rsidR="00592BB8" w:rsidRDefault="00592BB8" w:rsidP="00592BB8">
            <w:r>
              <w:t xml:space="preserve">Load seed, load fertilizer, help load air seeder, help with the hook up of anhydrous tanks </w:t>
            </w:r>
          </w:p>
        </w:tc>
      </w:tr>
    </w:tbl>
    <w:p w:rsidR="00592BB8" w:rsidRDefault="00592BB8" w:rsidP="00592BB8">
      <w:pPr>
        <w:pStyle w:val="BodyContent"/>
        <w:spacing w:before="0" w:beforeAutospacing="0" w:after="0" w:afterAutospacing="0" w:line="240" w:lineRule="auto"/>
        <w:ind w:right="1440"/>
        <w:rPr>
          <w:rFonts w:ascii="HelveticaNeueLT Std Lt Ext" w:hAnsi="HelveticaNeueLT Std Lt Ext"/>
        </w:rPr>
      </w:pPr>
    </w:p>
    <w:p w:rsidR="00F12619" w:rsidRDefault="00F12619" w:rsidP="00592B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78"/>
        <w:gridCol w:w="6012"/>
      </w:tblGrid>
      <w:tr w:rsidR="00592BB8" w:rsidRPr="00CA6227" w:rsidTr="00F12619">
        <w:trPr>
          <w:trHeight w:val="266"/>
        </w:trPr>
        <w:tc>
          <w:tcPr>
            <w:tcW w:w="9990" w:type="dxa"/>
            <w:gridSpan w:val="2"/>
            <w:shd w:val="clear" w:color="auto" w:fill="auto"/>
          </w:tcPr>
          <w:p w:rsidR="00592BB8" w:rsidRPr="00CA6227" w:rsidRDefault="00592BB8" w:rsidP="00592BB8">
            <w:pPr>
              <w:pStyle w:val="Heading3"/>
            </w:pPr>
            <w:r w:rsidRPr="00CA6227">
              <w:t>Job Task Assessment</w:t>
            </w:r>
          </w:p>
          <w:p w:rsidR="00592BB8" w:rsidRPr="00285A7B" w:rsidRDefault="00592BB8" w:rsidP="00285A7B">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592BB8" w:rsidRPr="00CA6227" w:rsidTr="00F12619">
        <w:trPr>
          <w:trHeight w:val="266"/>
        </w:trPr>
        <w:tc>
          <w:tcPr>
            <w:tcW w:w="3978" w:type="dxa"/>
            <w:shd w:val="clear" w:color="auto" w:fill="auto"/>
          </w:tcPr>
          <w:p w:rsidR="00592BB8" w:rsidRPr="00CA6227" w:rsidRDefault="00592BB8" w:rsidP="00592BB8">
            <w:pPr>
              <w:pStyle w:val="Heading1"/>
            </w:pPr>
            <w:r w:rsidRPr="00CA6227">
              <w:t>Job Task</w:t>
            </w:r>
          </w:p>
        </w:tc>
        <w:tc>
          <w:tcPr>
            <w:tcW w:w="6012" w:type="dxa"/>
            <w:shd w:val="clear" w:color="auto" w:fill="auto"/>
          </w:tcPr>
          <w:p w:rsidR="00592BB8" w:rsidRPr="00CA6227" w:rsidRDefault="00592BB8" w:rsidP="00592BB8">
            <w:pPr>
              <w:pStyle w:val="Heading1"/>
            </w:pPr>
            <w:r w:rsidRPr="00CA6227">
              <w:t>Hazards</w:t>
            </w:r>
          </w:p>
        </w:tc>
      </w:tr>
      <w:tr w:rsidR="00592BB8" w:rsidTr="00F12619">
        <w:trPr>
          <w:trHeight w:val="262"/>
        </w:trPr>
        <w:tc>
          <w:tcPr>
            <w:tcW w:w="3978" w:type="dxa"/>
            <w:shd w:val="clear" w:color="auto" w:fill="auto"/>
          </w:tcPr>
          <w:p w:rsidR="00592BB8" w:rsidRDefault="00592BB8" w:rsidP="00592BB8">
            <w:r>
              <w:t>Fuel tractor</w:t>
            </w:r>
          </w:p>
          <w:p w:rsidR="00592BB8" w:rsidRDefault="00592BB8" w:rsidP="00592BB8"/>
        </w:tc>
        <w:tc>
          <w:tcPr>
            <w:tcW w:w="6012" w:type="dxa"/>
            <w:shd w:val="clear" w:color="auto" w:fill="auto"/>
          </w:tcPr>
          <w:p w:rsidR="00592BB8" w:rsidRDefault="00592BB8" w:rsidP="00592BB8">
            <w:r>
              <w:t xml:space="preserve">Fuel spills on people/ground/equipment, slipping/falling due to climbing ladder when fueling tractor </w:t>
            </w:r>
          </w:p>
        </w:tc>
      </w:tr>
      <w:tr w:rsidR="00592BB8" w:rsidTr="00F12619">
        <w:trPr>
          <w:trHeight w:val="262"/>
        </w:trPr>
        <w:tc>
          <w:tcPr>
            <w:tcW w:w="3978" w:type="dxa"/>
            <w:shd w:val="clear" w:color="auto" w:fill="auto"/>
          </w:tcPr>
          <w:p w:rsidR="00592BB8" w:rsidRDefault="00592BB8" w:rsidP="00592BB8">
            <w:r>
              <w:t xml:space="preserve">Grease maintenance on equipment </w:t>
            </w:r>
          </w:p>
        </w:tc>
        <w:tc>
          <w:tcPr>
            <w:tcW w:w="6012" w:type="dxa"/>
            <w:shd w:val="clear" w:color="auto" w:fill="auto"/>
          </w:tcPr>
          <w:p w:rsidR="00592BB8" w:rsidRDefault="00592BB8" w:rsidP="00592BB8">
            <w:r>
              <w:t xml:space="preserve">Crawling underneath or walking on top air seeder/air drill: very dangerous caution of slippage or falling off , physically get hurt </w:t>
            </w:r>
          </w:p>
        </w:tc>
      </w:tr>
      <w:tr w:rsidR="00592BB8" w:rsidTr="00F12619">
        <w:trPr>
          <w:trHeight w:val="262"/>
        </w:trPr>
        <w:tc>
          <w:tcPr>
            <w:tcW w:w="3978" w:type="dxa"/>
            <w:shd w:val="clear" w:color="auto" w:fill="auto"/>
          </w:tcPr>
          <w:p w:rsidR="00592BB8" w:rsidRDefault="00592BB8" w:rsidP="00592BB8">
            <w:r>
              <w:t xml:space="preserve">Hooking up anhydrous tanks (nurse tanks) </w:t>
            </w:r>
          </w:p>
          <w:p w:rsidR="00592BB8" w:rsidRDefault="00592BB8" w:rsidP="00592BB8"/>
        </w:tc>
        <w:tc>
          <w:tcPr>
            <w:tcW w:w="6012" w:type="dxa"/>
            <w:shd w:val="clear" w:color="auto" w:fill="auto"/>
          </w:tcPr>
          <w:p w:rsidR="00592BB8" w:rsidRDefault="00592BB8" w:rsidP="00592BB8">
            <w:r>
              <w:t xml:space="preserve">Body tissues that contain high percentages of water such as eyes, skin, and respiratory tract can instantly freeze when anhydrous is exposed to tissue , fire and explosion hazard, blindness, will cause severe burns and dehydration as it come in contact with body tissue </w:t>
            </w:r>
          </w:p>
        </w:tc>
      </w:tr>
    </w:tbl>
    <w:p w:rsidR="00F12619" w:rsidRDefault="00F12619">
      <w:r>
        <w:br w:type="page"/>
      </w:r>
    </w:p>
    <w:p w:rsidR="00F12619" w:rsidRDefault="00F12619"/>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78"/>
        <w:gridCol w:w="6012"/>
      </w:tblGrid>
      <w:tr w:rsidR="00592BB8" w:rsidTr="00F12619">
        <w:trPr>
          <w:trHeight w:val="262"/>
        </w:trPr>
        <w:tc>
          <w:tcPr>
            <w:tcW w:w="3978" w:type="dxa"/>
            <w:shd w:val="clear" w:color="auto" w:fill="auto"/>
          </w:tcPr>
          <w:p w:rsidR="00592BB8" w:rsidRDefault="00592BB8" w:rsidP="00592BB8">
            <w:r>
              <w:t xml:space="preserve">Loading seed </w:t>
            </w:r>
          </w:p>
          <w:p w:rsidR="00592BB8" w:rsidRDefault="00592BB8" w:rsidP="00592BB8"/>
        </w:tc>
        <w:tc>
          <w:tcPr>
            <w:tcW w:w="6012" w:type="dxa"/>
            <w:shd w:val="clear" w:color="auto" w:fill="auto"/>
          </w:tcPr>
          <w:p w:rsidR="00592BB8" w:rsidRDefault="00592BB8" w:rsidP="00592BB8">
            <w:r>
              <w:t>Falling off ladder of air seeder/air drill, physical strains from moving augers, loading/unloading trucks, potential bodily harm from hoisting truck box , more dangerous at night, potential run-ins to equipment or others workers when backing up truck, treated seed dust (most dangerous: poisonous)</w:t>
            </w:r>
          </w:p>
        </w:tc>
      </w:tr>
      <w:tr w:rsidR="00592BB8" w:rsidTr="00F12619">
        <w:trPr>
          <w:trHeight w:val="262"/>
        </w:trPr>
        <w:tc>
          <w:tcPr>
            <w:tcW w:w="3978" w:type="dxa"/>
            <w:shd w:val="clear" w:color="auto" w:fill="auto"/>
          </w:tcPr>
          <w:p w:rsidR="00592BB8" w:rsidRDefault="00592BB8" w:rsidP="00592BB8">
            <w:r>
              <w:t xml:space="preserve">Loading fertilizer </w:t>
            </w:r>
          </w:p>
          <w:p w:rsidR="00592BB8" w:rsidRDefault="00592BB8" w:rsidP="00592BB8"/>
        </w:tc>
        <w:tc>
          <w:tcPr>
            <w:tcW w:w="6012" w:type="dxa"/>
            <w:shd w:val="clear" w:color="auto" w:fill="auto"/>
          </w:tcPr>
          <w:p w:rsidR="00592BB8" w:rsidRDefault="00592BB8" w:rsidP="00592BB8">
            <w:r>
              <w:t xml:space="preserve">Falling off ladder of air seeder/air drill, physical strains from moving augers, loading/unloading trucks, more dangerous at night, potential bodily harm from hoisting truck box, potential run-ins to equipment or other workers  when backing up truck, fertilizer dust (most dangerous) </w:t>
            </w:r>
          </w:p>
        </w:tc>
      </w:tr>
      <w:tr w:rsidR="00592BB8" w:rsidTr="00F12619">
        <w:trPr>
          <w:trHeight w:val="262"/>
        </w:trPr>
        <w:tc>
          <w:tcPr>
            <w:tcW w:w="3978" w:type="dxa"/>
            <w:shd w:val="clear" w:color="auto" w:fill="auto"/>
          </w:tcPr>
          <w:p w:rsidR="00592BB8" w:rsidRDefault="00592BB8" w:rsidP="00592BB8">
            <w:r>
              <w:t xml:space="preserve">Performing maintenance </w:t>
            </w:r>
          </w:p>
        </w:tc>
        <w:tc>
          <w:tcPr>
            <w:tcW w:w="6012" w:type="dxa"/>
            <w:shd w:val="clear" w:color="auto" w:fill="auto"/>
          </w:tcPr>
          <w:p w:rsidR="00592BB8" w:rsidRDefault="00592BB8" w:rsidP="00592BB8">
            <w:r>
              <w:t xml:space="preserve">Bodily injury </w:t>
            </w:r>
          </w:p>
        </w:tc>
      </w:tr>
      <w:tr w:rsidR="00592BB8" w:rsidTr="00F12619">
        <w:trPr>
          <w:trHeight w:val="262"/>
        </w:trPr>
        <w:tc>
          <w:tcPr>
            <w:tcW w:w="3978" w:type="dxa"/>
            <w:shd w:val="clear" w:color="auto" w:fill="auto"/>
          </w:tcPr>
          <w:p w:rsidR="00592BB8" w:rsidRDefault="00592BB8" w:rsidP="00592BB8">
            <w:r>
              <w:t xml:space="preserve">Yard transport </w:t>
            </w:r>
          </w:p>
          <w:p w:rsidR="00592BB8" w:rsidRDefault="00592BB8" w:rsidP="00592BB8"/>
        </w:tc>
        <w:tc>
          <w:tcPr>
            <w:tcW w:w="6012" w:type="dxa"/>
            <w:shd w:val="clear" w:color="auto" w:fill="auto"/>
          </w:tcPr>
          <w:p w:rsidR="00592BB8" w:rsidRDefault="00592BB8" w:rsidP="00592BB8">
            <w:r>
              <w:t xml:space="preserve">Bodily injury to other family members/workers around –run overs </w:t>
            </w:r>
          </w:p>
          <w:p w:rsidR="00592BB8" w:rsidRDefault="00592BB8" w:rsidP="00592BB8">
            <w:r>
              <w:t xml:space="preserve">Damage to other equipment </w:t>
            </w:r>
          </w:p>
          <w:p w:rsidR="00592BB8" w:rsidRDefault="00592BB8" w:rsidP="00592BB8">
            <w:r>
              <w:t xml:space="preserve">Damage to buildings </w:t>
            </w:r>
          </w:p>
        </w:tc>
      </w:tr>
      <w:tr w:rsidR="00592BB8" w:rsidTr="00F12619">
        <w:trPr>
          <w:trHeight w:val="262"/>
        </w:trPr>
        <w:tc>
          <w:tcPr>
            <w:tcW w:w="3978" w:type="dxa"/>
            <w:shd w:val="clear" w:color="auto" w:fill="auto"/>
          </w:tcPr>
          <w:p w:rsidR="00592BB8" w:rsidRDefault="00592BB8" w:rsidP="00592BB8">
            <w:r>
              <w:t xml:space="preserve">Road transport </w:t>
            </w:r>
          </w:p>
          <w:p w:rsidR="00592BB8" w:rsidRDefault="00592BB8" w:rsidP="00592BB8"/>
        </w:tc>
        <w:tc>
          <w:tcPr>
            <w:tcW w:w="6012" w:type="dxa"/>
            <w:shd w:val="clear" w:color="auto" w:fill="auto"/>
          </w:tcPr>
          <w:p w:rsidR="00592BB8" w:rsidRDefault="00592BB8" w:rsidP="00592BB8">
            <w:r>
              <w:t xml:space="preserve">Hitting Hydro poles when seeders are folded up, limited visibility, wide and high load, slow moving machine all result in road/ other vehicle accidents </w:t>
            </w:r>
          </w:p>
          <w:p w:rsidR="00592BB8" w:rsidRDefault="00592BB8" w:rsidP="00592BB8">
            <w:r>
              <w:t>Hitting road side signs, soft/ un-even/ rough shoulders of road result in damage of equipment and physical harm to operator</w:t>
            </w:r>
          </w:p>
        </w:tc>
      </w:tr>
    </w:tbl>
    <w:p w:rsidR="00592BB8" w:rsidRDefault="00592BB8" w:rsidP="00592BB8">
      <w:pPr>
        <w:pStyle w:val="BodyContent"/>
        <w:spacing w:before="0" w:beforeAutospacing="0" w:after="0" w:afterAutospacing="0" w:line="240" w:lineRule="auto"/>
        <w:ind w:right="1440"/>
        <w:rPr>
          <w:rFonts w:ascii="HelveticaNeueLT Std Lt Ext" w:hAnsi="HelveticaNeueLT Std Lt Ext"/>
        </w:rPr>
      </w:pPr>
    </w:p>
    <w:p w:rsidR="00F12619" w:rsidRDefault="00F12619" w:rsidP="00592BB8">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92BB8" w:rsidRPr="00277BE7" w:rsidTr="00F12619">
        <w:tc>
          <w:tcPr>
            <w:tcW w:w="10008" w:type="dxa"/>
            <w:shd w:val="clear" w:color="auto" w:fill="auto"/>
          </w:tcPr>
          <w:p w:rsidR="00592BB8" w:rsidRDefault="00592BB8" w:rsidP="00592BB8">
            <w:pPr>
              <w:pStyle w:val="Heading3"/>
            </w:pPr>
            <w:r w:rsidRPr="00277BE7">
              <w:t>Hazard Controls</w:t>
            </w:r>
          </w:p>
          <w:p w:rsidR="00592BB8" w:rsidRDefault="00592BB8" w:rsidP="00592BB8">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p w:rsidR="00592BB8" w:rsidRPr="00277BE7" w:rsidRDefault="00592BB8" w:rsidP="00143D16">
            <w:pPr>
              <w:pStyle w:val="BodyContent"/>
              <w:spacing w:before="0" w:beforeAutospacing="0" w:after="0" w:afterAutospacing="0" w:line="240" w:lineRule="auto"/>
              <w:ind w:left="0" w:right="-108"/>
              <w:jc w:val="right"/>
              <w:rPr>
                <w:rFonts w:ascii="HelveticaNeueLT Std Lt Ext" w:hAnsi="HelveticaNeueLT Std Lt Ext"/>
                <w:b/>
                <w:color w:val="FFFFFF" w:themeColor="background1"/>
              </w:rPr>
            </w:pPr>
            <w:r>
              <w:rPr>
                <w:rFonts w:ascii="HelveticaNeueLT Std Lt Ext" w:hAnsi="HelveticaNeueLT Std Lt Ext"/>
                <w:b/>
                <w:color w:val="FFFFFF" w:themeColor="background1"/>
                <w:sz w:val="16"/>
              </w:rPr>
              <w:t xml:space="preserve">.    </w:t>
            </w:r>
          </w:p>
        </w:tc>
      </w:tr>
      <w:tr w:rsidR="00592BB8" w:rsidTr="00F12619">
        <w:trPr>
          <w:trHeight w:val="516"/>
        </w:trPr>
        <w:tc>
          <w:tcPr>
            <w:tcW w:w="10008" w:type="dxa"/>
            <w:shd w:val="clear" w:color="auto" w:fill="auto"/>
          </w:tcPr>
          <w:p w:rsidR="00592BB8" w:rsidRDefault="00592BB8" w:rsidP="00592BB8">
            <w:r>
              <w:t xml:space="preserve">Road transport – make sure all lights on equipment are working, slow moving vehicle sign (clean and visible), reflective tape where required </w:t>
            </w:r>
          </w:p>
        </w:tc>
      </w:tr>
      <w:tr w:rsidR="00592BB8" w:rsidTr="00F12619">
        <w:trPr>
          <w:trHeight w:val="513"/>
        </w:trPr>
        <w:tc>
          <w:tcPr>
            <w:tcW w:w="10008" w:type="dxa"/>
            <w:shd w:val="clear" w:color="auto" w:fill="auto"/>
          </w:tcPr>
          <w:p w:rsidR="00592BB8" w:rsidRDefault="00592BB8" w:rsidP="00592BB8">
            <w:r>
              <w:t>Personal protective equipment for working with anhydrous ammonia fertilizer, and treated seed. (ex: elbow length rubber gloves, source of clean water/eye washing station, chemical-proof goggles, long sleeve shirt )</w:t>
            </w:r>
          </w:p>
        </w:tc>
      </w:tr>
      <w:tr w:rsidR="00592BB8" w:rsidTr="00F12619">
        <w:trPr>
          <w:trHeight w:val="513"/>
        </w:trPr>
        <w:tc>
          <w:tcPr>
            <w:tcW w:w="10008" w:type="dxa"/>
            <w:shd w:val="clear" w:color="auto" w:fill="auto"/>
          </w:tcPr>
          <w:p w:rsidR="00592BB8" w:rsidRDefault="00592BB8" w:rsidP="00592BB8">
            <w:r>
              <w:t>Anhydrous hoses are considered weakness link, must be checked carefully before each use for cracks, cuts, bulges, soft spots or blisters. replace hoses if any damage is found</w:t>
            </w:r>
          </w:p>
        </w:tc>
      </w:tr>
    </w:tbl>
    <w:p w:rsidR="00592BB8" w:rsidRDefault="00592BB8" w:rsidP="00592BB8">
      <w:pPr>
        <w:pStyle w:val="BodyContent"/>
        <w:spacing w:before="0" w:beforeAutospacing="0" w:after="0" w:afterAutospacing="0" w:line="240" w:lineRule="auto"/>
        <w:ind w:right="1440"/>
        <w:rPr>
          <w:rFonts w:ascii="HelveticaNeueLT Std Lt Ext" w:hAnsi="HelveticaNeueLT Std Lt Ext"/>
        </w:rPr>
      </w:pPr>
    </w:p>
    <w:p w:rsidR="00F12619" w:rsidRDefault="00F12619" w:rsidP="00592B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92BB8" w:rsidRPr="00277BE7" w:rsidTr="00F12619">
        <w:tc>
          <w:tcPr>
            <w:tcW w:w="10008" w:type="dxa"/>
            <w:shd w:val="clear" w:color="auto" w:fill="auto"/>
            <w:vAlign w:val="center"/>
          </w:tcPr>
          <w:p w:rsidR="00592BB8" w:rsidRDefault="00E93099" w:rsidP="00592BB8">
            <w:pPr>
              <w:pStyle w:val="Heading3"/>
            </w:pPr>
            <w:r>
              <w:t>Skill Level / Training Required to Perform the J</w:t>
            </w:r>
            <w:r w:rsidR="00592BB8" w:rsidRPr="00277BE7">
              <w:t>ob</w:t>
            </w:r>
          </w:p>
          <w:p w:rsidR="00592BB8" w:rsidRPr="0062478E" w:rsidRDefault="00592BB8" w:rsidP="00592BB8">
            <w:pPr>
              <w:pStyle w:val="Heading1"/>
            </w:pPr>
            <w:r>
              <w:t>(L</w:t>
            </w:r>
            <w:r w:rsidRPr="00CA6227">
              <w:t>ist training requirements</w:t>
            </w:r>
            <w:r>
              <w:t>)</w:t>
            </w:r>
          </w:p>
        </w:tc>
      </w:tr>
      <w:tr w:rsidR="00592BB8" w:rsidTr="00F12619">
        <w:tc>
          <w:tcPr>
            <w:tcW w:w="10008" w:type="dxa"/>
            <w:shd w:val="clear" w:color="auto" w:fill="auto"/>
          </w:tcPr>
          <w:p w:rsidR="00592BB8" w:rsidRDefault="00592BB8" w:rsidP="00592BB8">
            <w:r>
              <w:t xml:space="preserve">Need to have producer anhydrous ammonia Certificate - training license. </w:t>
            </w:r>
          </w:p>
          <w:p w:rsidR="00592BB8" w:rsidRDefault="00592BB8" w:rsidP="00592BB8">
            <w:r>
              <w:t xml:space="preserve">Extremely dangerous, high pressure (compressed gas). Have to be over age of 16 to transport by law. </w:t>
            </w:r>
          </w:p>
        </w:tc>
      </w:tr>
      <w:tr w:rsidR="00592BB8" w:rsidTr="00F12619">
        <w:tc>
          <w:tcPr>
            <w:tcW w:w="10008" w:type="dxa"/>
            <w:shd w:val="clear" w:color="auto" w:fill="auto"/>
          </w:tcPr>
          <w:p w:rsidR="00592BB8" w:rsidRDefault="00592BB8" w:rsidP="00592BB8">
            <w:r>
              <w:t xml:space="preserve">Know how to run GPS/electronics of equipment for seeding, know how to calibrate fertilizer/seeding rates, know how to set and calibrate accurate depth of seed and fertilizer to do precise placement  </w:t>
            </w:r>
          </w:p>
          <w:p w:rsidR="00592BB8" w:rsidRDefault="00592BB8" w:rsidP="00592BB8">
            <w:r>
              <w:t xml:space="preserve">DO NOT OPERATE IF NOT TRAINED </w:t>
            </w:r>
          </w:p>
        </w:tc>
      </w:tr>
    </w:tbl>
    <w:p w:rsidR="00F12619" w:rsidRDefault="00F12619" w:rsidP="00592BB8">
      <w:pPr>
        <w:pStyle w:val="BodyContent"/>
        <w:spacing w:before="0" w:beforeAutospacing="0" w:after="0" w:afterAutospacing="0" w:line="240" w:lineRule="auto"/>
        <w:ind w:right="1440"/>
        <w:rPr>
          <w:rFonts w:ascii="HelveticaNeueLT Std Lt Ext" w:hAnsi="HelveticaNeueLT Std Lt Ext"/>
        </w:rPr>
      </w:pPr>
    </w:p>
    <w:p w:rsidR="00F12619" w:rsidRDefault="00F12619">
      <w:pPr>
        <w:spacing w:before="0" w:after="0"/>
        <w:rPr>
          <w:rFonts w:ascii="HelveticaNeueLT Std Lt Ext" w:hAnsi="HelveticaNeueLT Std Lt Ext"/>
          <w:color w:val="333333"/>
          <w:szCs w:val="20"/>
        </w:rPr>
      </w:pPr>
      <w:r>
        <w:rPr>
          <w:rFonts w:ascii="HelveticaNeueLT Std Lt Ext" w:hAnsi="HelveticaNeueLT Std Lt Ext"/>
        </w:rPr>
        <w:br w:type="page"/>
      </w:r>
    </w:p>
    <w:p w:rsidR="00592BB8" w:rsidRDefault="00592BB8" w:rsidP="00592BB8">
      <w:pPr>
        <w:pStyle w:val="BodyContent"/>
        <w:spacing w:before="0" w:beforeAutospacing="0" w:after="0" w:afterAutospacing="0" w:line="240" w:lineRule="auto"/>
        <w:ind w:right="1440"/>
        <w:rPr>
          <w:rFonts w:ascii="HelveticaNeueLT Std Lt Ext" w:hAnsi="HelveticaNeueLT Std Lt Ext"/>
        </w:rPr>
      </w:pPr>
    </w:p>
    <w:p w:rsidR="00F12619" w:rsidRDefault="00F12619" w:rsidP="00592B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92BB8" w:rsidRPr="00CA6227" w:rsidTr="00F12619">
        <w:tc>
          <w:tcPr>
            <w:tcW w:w="10008" w:type="dxa"/>
            <w:shd w:val="clear" w:color="auto" w:fill="auto"/>
          </w:tcPr>
          <w:p w:rsidR="00592BB8" w:rsidRDefault="00592BB8" w:rsidP="00592BB8">
            <w:pPr>
              <w:pStyle w:val="Heading3"/>
            </w:pPr>
            <w:r w:rsidRPr="00CA6227">
              <w:t xml:space="preserve">Communications </w:t>
            </w:r>
            <w:r w:rsidR="00E93099">
              <w:t>P</w:t>
            </w:r>
            <w:r w:rsidRPr="00CA6227">
              <w:t>rocess</w:t>
            </w:r>
            <w:r>
              <w:t>es</w:t>
            </w:r>
          </w:p>
          <w:p w:rsidR="00592BB8" w:rsidRPr="0062478E" w:rsidRDefault="00592BB8" w:rsidP="00592BB8">
            <w:pPr>
              <w:pStyle w:val="Heading1"/>
            </w:pPr>
            <w:r>
              <w:t>(C</w:t>
            </w:r>
            <w:r w:rsidRPr="00CA6227">
              <w:t>onsider working alone, further instructions, concerns, how will assistance be delivered)</w:t>
            </w:r>
          </w:p>
        </w:tc>
      </w:tr>
      <w:tr w:rsidR="00592BB8" w:rsidTr="00F12619">
        <w:tc>
          <w:tcPr>
            <w:tcW w:w="10008" w:type="dxa"/>
            <w:shd w:val="clear" w:color="auto" w:fill="auto"/>
          </w:tcPr>
          <w:p w:rsidR="00592BB8" w:rsidRDefault="00592BB8" w:rsidP="00592BB8">
            <w:r>
              <w:t xml:space="preserve">Make sure to have cell phone on you at all times </w:t>
            </w:r>
            <w:proofErr w:type="spellStart"/>
            <w:r>
              <w:t>incase</w:t>
            </w:r>
            <w:proofErr w:type="spellEnd"/>
            <w:r>
              <w:t xml:space="preserve"> of accidents or problems. If there is a probl</w:t>
            </w:r>
            <w:r w:rsidR="00F12619">
              <w:t xml:space="preserve">em contact Ashton immediately. </w:t>
            </w:r>
            <w:r>
              <w:t>If someone has been injured assess their condition and try to turn off the source of injury or if you can move them without causing further injury move the injured person to a safe area.  If medical care is required call 911.</w:t>
            </w:r>
          </w:p>
        </w:tc>
      </w:tr>
      <w:tr w:rsidR="00592BB8" w:rsidTr="00F12619">
        <w:tc>
          <w:tcPr>
            <w:tcW w:w="10008" w:type="dxa"/>
            <w:shd w:val="clear" w:color="auto" w:fill="auto"/>
          </w:tcPr>
          <w:p w:rsidR="00592BB8" w:rsidRDefault="00592BB8" w:rsidP="00592BB8">
            <w:r>
              <w:t>Contact dealers (fertilizer, seed, equipment) if trouble shooting, calibration problems, mechanical problems</w:t>
            </w:r>
          </w:p>
          <w:p w:rsidR="00592BB8" w:rsidRDefault="00592BB8" w:rsidP="00592BB8">
            <w:r>
              <w:t xml:space="preserve">Refer to </w:t>
            </w:r>
            <w:proofErr w:type="gramStart"/>
            <w:r>
              <w:t>operators</w:t>
            </w:r>
            <w:proofErr w:type="gramEnd"/>
            <w:r>
              <w:t xml:space="preserve"> manual of equipment and follow instructions</w:t>
            </w:r>
            <w:r w:rsidR="00F12619">
              <w:t>.</w:t>
            </w:r>
          </w:p>
        </w:tc>
      </w:tr>
      <w:tr w:rsidR="00592BB8" w:rsidTr="00F12619">
        <w:tc>
          <w:tcPr>
            <w:tcW w:w="10008" w:type="dxa"/>
            <w:shd w:val="clear" w:color="auto" w:fill="auto"/>
          </w:tcPr>
          <w:p w:rsidR="00592BB8" w:rsidRDefault="00592BB8" w:rsidP="00592BB8">
            <w:r>
              <w:t>Review procedures with family members, employees/workers before allowing them to handle equipment to ensure their safety. Make sure everyone is fully aware of the importance of personal protective equipment while</w:t>
            </w:r>
            <w:r w:rsidR="00F12619">
              <w:t xml:space="preserve"> working with anhydrous ammonia.</w:t>
            </w:r>
          </w:p>
        </w:tc>
      </w:tr>
    </w:tbl>
    <w:p w:rsidR="00592BB8" w:rsidRDefault="00592BB8" w:rsidP="00592BB8">
      <w:pPr>
        <w:pStyle w:val="BodyContent"/>
        <w:spacing w:before="0" w:beforeAutospacing="0" w:after="0" w:afterAutospacing="0" w:line="240" w:lineRule="auto"/>
        <w:ind w:right="1440"/>
        <w:rPr>
          <w:rFonts w:ascii="HelveticaNeueLT Std Lt Ext" w:hAnsi="HelveticaNeueLT Std Lt Ext"/>
        </w:rPr>
      </w:pPr>
    </w:p>
    <w:p w:rsidR="00F12619" w:rsidRDefault="00F12619" w:rsidP="00592B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92BB8" w:rsidRPr="00CA6227" w:rsidTr="00F12619">
        <w:tc>
          <w:tcPr>
            <w:tcW w:w="10008" w:type="dxa"/>
            <w:shd w:val="clear" w:color="auto" w:fill="auto"/>
          </w:tcPr>
          <w:p w:rsidR="00592BB8" w:rsidRDefault="00592BB8" w:rsidP="00285A7B">
            <w:pPr>
              <w:pStyle w:val="Heading3"/>
            </w:pPr>
            <w:r>
              <w:t>Emergency Procedures</w:t>
            </w:r>
          </w:p>
          <w:p w:rsidR="00592BB8" w:rsidRPr="0062478E" w:rsidRDefault="00592BB8" w:rsidP="00592BB8">
            <w:pPr>
              <w:pStyle w:val="Heading1"/>
            </w:pPr>
            <w:r>
              <w:t>(C</w:t>
            </w:r>
            <w:r w:rsidRPr="00CA6227">
              <w:t xml:space="preserve">onsider </w:t>
            </w:r>
            <w:r>
              <w:t xml:space="preserve">how the worker will </w:t>
            </w:r>
            <w:proofErr w:type="spellStart"/>
            <w:r>
              <w:t>intiate</w:t>
            </w:r>
            <w:proofErr w:type="spellEnd"/>
            <w:r>
              <w:t xml:space="preserve"> an emergency response</w:t>
            </w:r>
            <w:r w:rsidRPr="00CA6227">
              <w:t>)</w:t>
            </w:r>
          </w:p>
        </w:tc>
      </w:tr>
      <w:tr w:rsidR="00592BB8" w:rsidTr="00F12619">
        <w:tc>
          <w:tcPr>
            <w:tcW w:w="10008" w:type="dxa"/>
            <w:shd w:val="clear" w:color="auto" w:fill="auto"/>
          </w:tcPr>
          <w:p w:rsidR="00592BB8" w:rsidRDefault="00592BB8" w:rsidP="00592BB8">
            <w:r>
              <w:t xml:space="preserve">Know location of route and fields for workers seeding and operating equipment </w:t>
            </w:r>
            <w:proofErr w:type="spellStart"/>
            <w:r>
              <w:t>incase</w:t>
            </w:r>
            <w:proofErr w:type="spellEnd"/>
            <w:r>
              <w:t xml:space="preserve"> of workers that are physically hurt and need emergency response teams </w:t>
            </w:r>
          </w:p>
        </w:tc>
      </w:tr>
      <w:tr w:rsidR="00592BB8" w:rsidTr="00F12619">
        <w:tc>
          <w:tcPr>
            <w:tcW w:w="10008" w:type="dxa"/>
            <w:shd w:val="clear" w:color="auto" w:fill="auto"/>
          </w:tcPr>
          <w:p w:rsidR="00592BB8" w:rsidRDefault="00592BB8" w:rsidP="00592BB8">
            <w:r>
              <w:t xml:space="preserve">Emergency contacts –written on side of anhydrous tanks (right on equipment) </w:t>
            </w:r>
          </w:p>
        </w:tc>
      </w:tr>
      <w:tr w:rsidR="00592BB8" w:rsidTr="00F12619">
        <w:tc>
          <w:tcPr>
            <w:tcW w:w="10008" w:type="dxa"/>
            <w:shd w:val="clear" w:color="auto" w:fill="auto"/>
          </w:tcPr>
          <w:p w:rsidR="00592BB8" w:rsidRDefault="00592BB8" w:rsidP="00592BB8">
            <w:r>
              <w:t xml:space="preserve">First aid kits on scene, as well as eye wash station when using anhydrous fertilizer </w:t>
            </w:r>
          </w:p>
        </w:tc>
      </w:tr>
    </w:tbl>
    <w:p w:rsidR="00592BB8" w:rsidRDefault="00592BB8" w:rsidP="00592BB8">
      <w:pPr>
        <w:pStyle w:val="BodyContent"/>
        <w:spacing w:before="0" w:beforeAutospacing="0" w:after="0" w:afterAutospacing="0" w:line="240" w:lineRule="auto"/>
        <w:ind w:right="1440"/>
        <w:rPr>
          <w:rFonts w:ascii="HelveticaNeueLT Std Lt Ext" w:hAnsi="HelveticaNeueLT Std Lt Ext"/>
        </w:rPr>
      </w:pPr>
    </w:p>
    <w:p w:rsidR="00F12619" w:rsidRDefault="00F12619" w:rsidP="00592B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92BB8" w:rsidRPr="00CA6227" w:rsidTr="00F12619">
        <w:tc>
          <w:tcPr>
            <w:tcW w:w="10008" w:type="dxa"/>
            <w:shd w:val="clear" w:color="auto" w:fill="auto"/>
          </w:tcPr>
          <w:p w:rsidR="00592BB8" w:rsidRDefault="00592BB8" w:rsidP="00592BB8">
            <w:pPr>
              <w:pStyle w:val="Heading3"/>
            </w:pPr>
            <w:r>
              <w:t>Expected Result</w:t>
            </w:r>
          </w:p>
          <w:p w:rsidR="00592BB8" w:rsidRPr="0062478E" w:rsidRDefault="00592BB8" w:rsidP="00592BB8">
            <w:pPr>
              <w:pStyle w:val="Heading1"/>
            </w:pPr>
            <w:r>
              <w:t>(C</w:t>
            </w:r>
            <w:r w:rsidRPr="00CA6227">
              <w:t xml:space="preserve">onsider </w:t>
            </w:r>
            <w:r>
              <w:t>the benefits of the Standard Operating Practice for farm operations</w:t>
            </w:r>
            <w:r w:rsidRPr="00CA6227">
              <w:t>)</w:t>
            </w:r>
          </w:p>
        </w:tc>
      </w:tr>
      <w:tr w:rsidR="00592BB8" w:rsidTr="00F12619">
        <w:tc>
          <w:tcPr>
            <w:tcW w:w="10008" w:type="dxa"/>
            <w:shd w:val="clear" w:color="auto" w:fill="auto"/>
          </w:tcPr>
          <w:p w:rsidR="00592BB8" w:rsidRDefault="00592BB8" w:rsidP="00592BB8">
            <w:r>
              <w:t xml:space="preserve">Taking time to get ready before seeding will prevent more mishaps in the long run </w:t>
            </w:r>
          </w:p>
          <w:p w:rsidR="00592BB8" w:rsidRDefault="00592BB8" w:rsidP="00592BB8">
            <w:r>
              <w:t xml:space="preserve">(prevention of injuries, bodily harm, mechanical failure, equipment break downs) </w:t>
            </w:r>
          </w:p>
        </w:tc>
      </w:tr>
      <w:tr w:rsidR="00592BB8" w:rsidTr="00F12619">
        <w:tc>
          <w:tcPr>
            <w:tcW w:w="10008" w:type="dxa"/>
            <w:shd w:val="clear" w:color="auto" w:fill="auto"/>
          </w:tcPr>
          <w:p w:rsidR="00592BB8" w:rsidRDefault="00592BB8" w:rsidP="00592BB8">
            <w:r>
              <w:t xml:space="preserve">Safe and smooth operation of equipment during seeding time </w:t>
            </w:r>
          </w:p>
        </w:tc>
      </w:tr>
      <w:tr w:rsidR="00592BB8" w:rsidTr="00F12619">
        <w:tc>
          <w:tcPr>
            <w:tcW w:w="10008" w:type="dxa"/>
            <w:shd w:val="clear" w:color="auto" w:fill="auto"/>
          </w:tcPr>
          <w:p w:rsidR="00592BB8" w:rsidRDefault="00592BB8" w:rsidP="00592BB8">
            <w:r>
              <w:t>Properly trained and aware operators will accomplish the tasks in a more safe and timely manner</w:t>
            </w:r>
          </w:p>
        </w:tc>
      </w:tr>
    </w:tbl>
    <w:p w:rsidR="00722EE2" w:rsidRDefault="00722EE2" w:rsidP="00AD2D2C">
      <w:pPr>
        <w:ind w:left="1440"/>
      </w:pPr>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A57" w:rsidRPr="008432AD" w:rsidRDefault="000C4A57" w:rsidP="000C4A57">
    <w:pPr>
      <w:pStyle w:val="ListParagraph"/>
      <w:ind w:left="1267" w:right="806"/>
      <w:jc w:val="both"/>
      <w:rPr>
        <w:rFonts w:ascii="HelveticaNeueLT Std" w:hAnsi="HelveticaNeueLT Std"/>
        <w:sz w:val="16"/>
        <w:szCs w:val="16"/>
      </w:rPr>
    </w:pPr>
    <w:r w:rsidRPr="008432AD">
      <w:rPr>
        <w:rFonts w:ascii="HelveticaNeueLT Std" w:hAnsi="HelveticaNeueLT Std"/>
        <w:sz w:val="16"/>
        <w:szCs w:val="16"/>
      </w:rPr>
      <w:t>N</w:t>
    </w:r>
    <w:r w:rsidR="00871F77">
      <w:rPr>
        <w:rFonts w:ascii="HelveticaNeueLT Std" w:hAnsi="HelveticaNeueLT Std"/>
        <w:sz w:val="16"/>
        <w:szCs w:val="16"/>
      </w:rPr>
      <w:t>OTE: T</w:t>
    </w:r>
    <w:r w:rsidRPr="008432AD">
      <w:rPr>
        <w:rFonts w:ascii="HelveticaNeueLT Std" w:hAnsi="HelveticaNeueLT Std"/>
        <w:sz w:val="16"/>
        <w:szCs w:val="16"/>
      </w:rPr>
      <w:t>his integrated safety Standard Operating Practice is a sample of procedures that were developed for a specific workplace with specific equipm</w:t>
    </w:r>
    <w:r w:rsidR="00871F77">
      <w:rPr>
        <w:rFonts w:ascii="HelveticaNeueLT Std" w:hAnsi="HelveticaNeueLT Std"/>
        <w:sz w:val="16"/>
        <w:szCs w:val="16"/>
      </w:rPr>
      <w:t xml:space="preserve">ent, conditions and practices. </w:t>
    </w:r>
    <w:r w:rsidRPr="008432AD">
      <w:rPr>
        <w:rFonts w:ascii="HelveticaNeueLT Std" w:hAnsi="HelveticaNeueLT Std"/>
        <w:sz w:val="16"/>
        <w:szCs w:val="16"/>
      </w:rPr>
      <w:t xml:space="preserve">To maximize effectiveness of this </w:t>
    </w:r>
    <w:proofErr w:type="spellStart"/>
    <w:r w:rsidRPr="008432AD">
      <w:rPr>
        <w:rFonts w:ascii="HelveticaNeueLT Std" w:hAnsi="HelveticaNeueLT Std"/>
        <w:sz w:val="16"/>
        <w:szCs w:val="16"/>
      </w:rPr>
      <w:t>isSOP</w:t>
    </w:r>
    <w:proofErr w:type="spellEnd"/>
    <w:r w:rsidRPr="008432AD">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8432AD">
      <w:rPr>
        <w:rFonts w:ascii="HelveticaNeueLT Std" w:hAnsi="HelveticaNeueLT Std"/>
        <w:sz w:val="16"/>
        <w:szCs w:val="16"/>
      </w:rPr>
      <w:t>isSOP</w:t>
    </w:r>
    <w:proofErr w:type="spellEnd"/>
    <w:r w:rsidRPr="008432AD">
      <w:rPr>
        <w:rFonts w:ascii="HelveticaNeueLT Std" w:hAnsi="HelveticaNeueLT Std"/>
        <w:sz w:val="16"/>
        <w:szCs w:val="16"/>
      </w:rPr>
      <w:t>.</w:t>
    </w:r>
  </w:p>
  <w:p w:rsidR="001A6E0A" w:rsidRDefault="001A6E0A">
    <w:r>
      <w:rPr>
        <w:noProof/>
      </w:rPr>
      <w:drawing>
        <wp:inline distT="0" distB="0" distL="0" distR="0" wp14:anchorId="79B4D195" wp14:editId="28D94CF2">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1A6E0A" w:rsidRPr="00E93099" w:rsidRDefault="001A6E0A" w:rsidP="000F09E2">
    <w:pPr>
      <w:tabs>
        <w:tab w:val="left" w:pos="1080"/>
      </w:tabs>
      <w:ind w:left="720"/>
      <w:rPr>
        <w:color w:val="7F7F7F" w:themeColor="text1" w:themeTint="80"/>
        <w:sz w:val="18"/>
      </w:rPr>
    </w:pPr>
    <w:r w:rsidRPr="00E93099">
      <w:rPr>
        <w:color w:val="7F7F7F" w:themeColor="text1" w:themeTint="80"/>
        <w:sz w:val="18"/>
      </w:rPr>
      <w:fldChar w:fldCharType="begin"/>
    </w:r>
    <w:r w:rsidRPr="00E93099">
      <w:rPr>
        <w:color w:val="7F7F7F" w:themeColor="text1" w:themeTint="80"/>
        <w:sz w:val="18"/>
      </w:rPr>
      <w:instrText xml:space="preserve"> PAGE </w:instrText>
    </w:r>
    <w:r w:rsidRPr="00E93099">
      <w:rPr>
        <w:color w:val="7F7F7F" w:themeColor="text1" w:themeTint="80"/>
        <w:sz w:val="18"/>
      </w:rPr>
      <w:fldChar w:fldCharType="separate"/>
    </w:r>
    <w:r w:rsidR="00492C47">
      <w:rPr>
        <w:noProof/>
        <w:color w:val="7F7F7F" w:themeColor="text1" w:themeTint="80"/>
        <w:sz w:val="18"/>
      </w:rPr>
      <w:t>3</w:t>
    </w:r>
    <w:r w:rsidRPr="00E93099">
      <w:rPr>
        <w:color w:val="7F7F7F" w:themeColor="text1" w:themeTint="80"/>
        <w:sz w:val="18"/>
      </w:rPr>
      <w:fldChar w:fldCharType="end"/>
    </w:r>
    <w:r w:rsidRPr="00E93099">
      <w:rPr>
        <w:color w:val="7F7F7F" w:themeColor="text1" w:themeTint="80"/>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19" w:rsidRPr="00151061" w:rsidRDefault="00F12619" w:rsidP="00F12619">
    <w:pPr>
      <w:pStyle w:val="Header"/>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22BBB001" wp14:editId="155BD947">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7FAB3422" wp14:editId="65FBF728">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A426C"/>
    <w:rsid w:val="000B2EF7"/>
    <w:rsid w:val="000C4A57"/>
    <w:rsid w:val="000E266C"/>
    <w:rsid w:val="000E6112"/>
    <w:rsid w:val="000F09E2"/>
    <w:rsid w:val="000F2A12"/>
    <w:rsid w:val="000F760A"/>
    <w:rsid w:val="001904AF"/>
    <w:rsid w:val="001A6E0A"/>
    <w:rsid w:val="001C23F0"/>
    <w:rsid w:val="00207049"/>
    <w:rsid w:val="00226581"/>
    <w:rsid w:val="00237EA2"/>
    <w:rsid w:val="00277BE7"/>
    <w:rsid w:val="00285A7B"/>
    <w:rsid w:val="002973DC"/>
    <w:rsid w:val="002A6193"/>
    <w:rsid w:val="002D3BD7"/>
    <w:rsid w:val="002E6ED0"/>
    <w:rsid w:val="00301DBB"/>
    <w:rsid w:val="00317138"/>
    <w:rsid w:val="003456DD"/>
    <w:rsid w:val="003B4ABA"/>
    <w:rsid w:val="00421AF9"/>
    <w:rsid w:val="00432267"/>
    <w:rsid w:val="00470B77"/>
    <w:rsid w:val="00492C47"/>
    <w:rsid w:val="004E1045"/>
    <w:rsid w:val="004F19B3"/>
    <w:rsid w:val="004F6232"/>
    <w:rsid w:val="00555736"/>
    <w:rsid w:val="00592BB8"/>
    <w:rsid w:val="005960AF"/>
    <w:rsid w:val="005A334A"/>
    <w:rsid w:val="005D5FC0"/>
    <w:rsid w:val="0062478E"/>
    <w:rsid w:val="00692A9D"/>
    <w:rsid w:val="006B2894"/>
    <w:rsid w:val="006B3AF4"/>
    <w:rsid w:val="006C4E46"/>
    <w:rsid w:val="006E094F"/>
    <w:rsid w:val="00722EE2"/>
    <w:rsid w:val="007708FE"/>
    <w:rsid w:val="007D3774"/>
    <w:rsid w:val="00812266"/>
    <w:rsid w:val="00815FD0"/>
    <w:rsid w:val="00871F77"/>
    <w:rsid w:val="00892665"/>
    <w:rsid w:val="008A1E58"/>
    <w:rsid w:val="00902C7B"/>
    <w:rsid w:val="00952CDC"/>
    <w:rsid w:val="00A66776"/>
    <w:rsid w:val="00AA57D3"/>
    <w:rsid w:val="00AB453E"/>
    <w:rsid w:val="00AD2D2C"/>
    <w:rsid w:val="00BA6359"/>
    <w:rsid w:val="00C15A77"/>
    <w:rsid w:val="00C21B65"/>
    <w:rsid w:val="00C36201"/>
    <w:rsid w:val="00C71D87"/>
    <w:rsid w:val="00CA6227"/>
    <w:rsid w:val="00CF4A30"/>
    <w:rsid w:val="00D13383"/>
    <w:rsid w:val="00D17B0F"/>
    <w:rsid w:val="00D21883"/>
    <w:rsid w:val="00DD2AB8"/>
    <w:rsid w:val="00DE31AD"/>
    <w:rsid w:val="00E07174"/>
    <w:rsid w:val="00E42CD0"/>
    <w:rsid w:val="00E93099"/>
    <w:rsid w:val="00EB5336"/>
    <w:rsid w:val="00EB59BA"/>
    <w:rsid w:val="00ED40C8"/>
    <w:rsid w:val="00ED5DB3"/>
    <w:rsid w:val="00F12619"/>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47"/>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492C47"/>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F12619"/>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492C47"/>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3DD8FA-0B39-49C6-AFCD-8373703E9740}">
  <ds:schemaRef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1DB8CF7-D01C-438B-9A88-D88B54FA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3</Pages>
  <Words>825</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8</cp:revision>
  <cp:lastPrinted>2018-06-01T20:24:00Z</cp:lastPrinted>
  <dcterms:created xsi:type="dcterms:W3CDTF">2018-06-01T21:30:00Z</dcterms:created>
  <dcterms:modified xsi:type="dcterms:W3CDTF">2018-06-05T18:52:00Z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AGUCMINT-3614596</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3804105</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http://agucm.agric.gov.ab.ca/cs/idcplg?IdcService=DESKTOP_DOC_INFO&amp;dDocName=AGUCMINT-3614596&amp;dID=3804105&amp;ClientControlled=DocMan,taskpane&amp;coreContentOnly=1</vt:lpwstr>
  </property>
</Properties>
</file>