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C6" w:rsidRPr="008E2E44" w:rsidRDefault="005B54C6" w:rsidP="005B54C6">
      <w:pPr>
        <w:rPr>
          <w:sz w:val="28"/>
          <w:szCs w:val="28"/>
        </w:rPr>
      </w:pPr>
    </w:p>
    <w:p w:rsidR="005B54C6" w:rsidRDefault="005B54C6" w:rsidP="005B54C6">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301DBB" w:rsidRDefault="00301DBB"/>
    <w:p w:rsidR="00301DBB" w:rsidRDefault="00301DBB" w:rsidP="00D77693">
      <w:pPr>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0505DC" w:rsidTr="005B54C6">
        <w:trPr>
          <w:trHeight w:val="397"/>
        </w:trPr>
        <w:tc>
          <w:tcPr>
            <w:tcW w:w="10008" w:type="dxa"/>
            <w:gridSpan w:val="2"/>
            <w:shd w:val="clear" w:color="auto" w:fill="auto"/>
            <w:vAlign w:val="center"/>
          </w:tcPr>
          <w:p w:rsidR="000505DC" w:rsidRPr="00277BE7" w:rsidRDefault="000505DC" w:rsidP="000505DC">
            <w:pPr>
              <w:pStyle w:val="Heading3"/>
            </w:pPr>
            <w:r w:rsidRPr="00277BE7">
              <w:t>General Information</w:t>
            </w:r>
          </w:p>
        </w:tc>
      </w:tr>
      <w:tr w:rsidR="000505DC" w:rsidTr="005B54C6">
        <w:trPr>
          <w:trHeight w:val="397"/>
        </w:trPr>
        <w:tc>
          <w:tcPr>
            <w:tcW w:w="4622" w:type="dxa"/>
            <w:shd w:val="clear" w:color="auto" w:fill="auto"/>
            <w:vAlign w:val="bottom"/>
          </w:tcPr>
          <w:p w:rsidR="000505DC" w:rsidRPr="00277BE7" w:rsidRDefault="000505DC" w:rsidP="000505DC">
            <w:r w:rsidRPr="00277BE7">
              <w:t>SOP number</w:t>
            </w:r>
          </w:p>
        </w:tc>
        <w:tc>
          <w:tcPr>
            <w:tcW w:w="5386" w:type="dxa"/>
            <w:shd w:val="clear" w:color="auto" w:fill="auto"/>
            <w:vAlign w:val="bottom"/>
          </w:tcPr>
          <w:p w:rsidR="000505DC" w:rsidRPr="00277BE7" w:rsidRDefault="000505DC" w:rsidP="000505DC">
            <w:r w:rsidRPr="00277BE7">
              <w:t>Written by:</w:t>
            </w:r>
          </w:p>
        </w:tc>
      </w:tr>
      <w:tr w:rsidR="000505DC" w:rsidTr="005B54C6">
        <w:trPr>
          <w:trHeight w:val="397"/>
        </w:trPr>
        <w:tc>
          <w:tcPr>
            <w:tcW w:w="4622" w:type="dxa"/>
            <w:shd w:val="clear" w:color="auto" w:fill="auto"/>
            <w:vAlign w:val="bottom"/>
          </w:tcPr>
          <w:p w:rsidR="000505DC" w:rsidRPr="00277BE7" w:rsidRDefault="000505DC" w:rsidP="000505DC">
            <w:r w:rsidRPr="00277BE7">
              <w:t>Date effective</w:t>
            </w:r>
            <w:r>
              <w:t>: 21 03 14</w:t>
            </w:r>
          </w:p>
        </w:tc>
        <w:tc>
          <w:tcPr>
            <w:tcW w:w="5386" w:type="dxa"/>
            <w:shd w:val="clear" w:color="auto" w:fill="auto"/>
            <w:vAlign w:val="bottom"/>
          </w:tcPr>
          <w:p w:rsidR="000505DC" w:rsidRPr="00277BE7" w:rsidRDefault="000505DC" w:rsidP="000505DC">
            <w:r w:rsidRPr="00277BE7">
              <w:t>Last modified</w:t>
            </w:r>
            <w:r>
              <w:t>: 06 06 15</w:t>
            </w:r>
          </w:p>
        </w:tc>
      </w:tr>
      <w:tr w:rsidR="000505DC" w:rsidTr="005B54C6">
        <w:trPr>
          <w:trHeight w:val="397"/>
        </w:trPr>
        <w:tc>
          <w:tcPr>
            <w:tcW w:w="10008" w:type="dxa"/>
            <w:gridSpan w:val="2"/>
            <w:shd w:val="clear" w:color="auto" w:fill="auto"/>
            <w:vAlign w:val="bottom"/>
          </w:tcPr>
          <w:p w:rsidR="000505DC" w:rsidRPr="00277BE7" w:rsidRDefault="000505DC" w:rsidP="000505DC">
            <w:r w:rsidRPr="00277BE7">
              <w:t>Job task:</w:t>
            </w:r>
            <w:r>
              <w:t xml:space="preserve"> Refueling Combine</w:t>
            </w:r>
          </w:p>
        </w:tc>
      </w:tr>
      <w:tr w:rsidR="000505DC" w:rsidTr="005B54C6">
        <w:trPr>
          <w:trHeight w:val="397"/>
        </w:trPr>
        <w:tc>
          <w:tcPr>
            <w:tcW w:w="4622" w:type="dxa"/>
            <w:shd w:val="clear" w:color="auto" w:fill="auto"/>
            <w:vAlign w:val="bottom"/>
          </w:tcPr>
          <w:p w:rsidR="000505DC" w:rsidRPr="00277BE7" w:rsidRDefault="000505DC" w:rsidP="000505DC">
            <w:r w:rsidRPr="00277BE7">
              <w:t>Location</w:t>
            </w:r>
            <w:r>
              <w:t>: Yard by storage tanks</w:t>
            </w:r>
          </w:p>
        </w:tc>
        <w:tc>
          <w:tcPr>
            <w:tcW w:w="5386" w:type="dxa"/>
            <w:shd w:val="clear" w:color="auto" w:fill="auto"/>
            <w:vAlign w:val="bottom"/>
          </w:tcPr>
          <w:p w:rsidR="000505DC" w:rsidRPr="00277BE7" w:rsidRDefault="000505DC" w:rsidP="000505DC">
            <w:r w:rsidRPr="00277BE7">
              <w:t>No of employees performing job:</w:t>
            </w:r>
            <w:r>
              <w:t xml:space="preserve"> 1</w:t>
            </w:r>
          </w:p>
        </w:tc>
      </w:tr>
    </w:tbl>
    <w:p w:rsidR="000505DC" w:rsidRDefault="000505DC" w:rsidP="000505DC"/>
    <w:p w:rsidR="005B54C6" w:rsidRDefault="005B54C6" w:rsidP="000505DC"/>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0505DC" w:rsidRPr="00277BE7" w:rsidTr="005B54C6">
        <w:tc>
          <w:tcPr>
            <w:tcW w:w="10008" w:type="dxa"/>
            <w:gridSpan w:val="2"/>
            <w:shd w:val="clear" w:color="auto" w:fill="auto"/>
            <w:vAlign w:val="center"/>
          </w:tcPr>
          <w:p w:rsidR="000505DC" w:rsidRDefault="000505DC" w:rsidP="000505DC">
            <w:pPr>
              <w:pStyle w:val="Heading3"/>
            </w:pPr>
            <w:r w:rsidRPr="00277BE7">
              <w:t>Responsibilities</w:t>
            </w:r>
          </w:p>
          <w:p w:rsidR="000505DC" w:rsidRPr="000505DC" w:rsidRDefault="000505DC" w:rsidP="000505DC">
            <w:pPr>
              <w:pStyle w:val="Heading1"/>
            </w:pPr>
            <w:r>
              <w:t>(W</w:t>
            </w:r>
            <w:r w:rsidRPr="00277BE7">
              <w:t>ho is responsible for each aspect of the job)</w:t>
            </w:r>
          </w:p>
        </w:tc>
      </w:tr>
      <w:tr w:rsidR="000505DC" w:rsidRPr="00CA6227" w:rsidTr="005B54C6">
        <w:tc>
          <w:tcPr>
            <w:tcW w:w="2524" w:type="dxa"/>
            <w:shd w:val="clear" w:color="auto" w:fill="auto"/>
          </w:tcPr>
          <w:p w:rsidR="000505DC" w:rsidRPr="00CA6227" w:rsidRDefault="000505DC" w:rsidP="000505DC">
            <w:pPr>
              <w:pStyle w:val="Heading1"/>
            </w:pPr>
            <w:r w:rsidRPr="00CA6227">
              <w:t>Position</w:t>
            </w:r>
          </w:p>
        </w:tc>
        <w:tc>
          <w:tcPr>
            <w:tcW w:w="7484" w:type="dxa"/>
            <w:shd w:val="clear" w:color="auto" w:fill="auto"/>
          </w:tcPr>
          <w:p w:rsidR="000505DC" w:rsidRPr="00CA6227" w:rsidRDefault="000505DC" w:rsidP="000505DC">
            <w:pPr>
              <w:pStyle w:val="Heading1"/>
            </w:pPr>
            <w:r w:rsidRPr="00CA6227">
              <w:t>Duties</w:t>
            </w:r>
          </w:p>
        </w:tc>
      </w:tr>
      <w:tr w:rsidR="000505DC" w:rsidTr="005B54C6">
        <w:tc>
          <w:tcPr>
            <w:tcW w:w="2524" w:type="dxa"/>
            <w:shd w:val="clear" w:color="auto" w:fill="auto"/>
          </w:tcPr>
          <w:p w:rsidR="000505DC" w:rsidRPr="00902FC6" w:rsidRDefault="000505DC" w:rsidP="000505DC">
            <w:r w:rsidRPr="00902FC6">
              <w:t>Employer/ Owner</w:t>
            </w:r>
          </w:p>
        </w:tc>
        <w:tc>
          <w:tcPr>
            <w:tcW w:w="7484" w:type="dxa"/>
            <w:shd w:val="clear" w:color="auto" w:fill="auto"/>
          </w:tcPr>
          <w:p w:rsidR="000505DC" w:rsidRPr="00902FC6" w:rsidRDefault="000505DC" w:rsidP="000505DC">
            <w:r w:rsidRPr="00902FC6">
              <w:t xml:space="preserve">To </w:t>
            </w:r>
            <w:r>
              <w:t xml:space="preserve">provide training, supervision and equipment and facilities are safe. </w:t>
            </w:r>
          </w:p>
        </w:tc>
      </w:tr>
      <w:tr w:rsidR="000505DC" w:rsidTr="005B54C6">
        <w:tc>
          <w:tcPr>
            <w:tcW w:w="2524" w:type="dxa"/>
            <w:shd w:val="clear" w:color="auto" w:fill="auto"/>
          </w:tcPr>
          <w:p w:rsidR="000505DC" w:rsidRPr="00902FC6" w:rsidRDefault="000505DC" w:rsidP="000505DC">
            <w:r w:rsidRPr="00902FC6">
              <w:t>Employee/ Worker</w:t>
            </w:r>
          </w:p>
        </w:tc>
        <w:tc>
          <w:tcPr>
            <w:tcW w:w="7484" w:type="dxa"/>
            <w:shd w:val="clear" w:color="auto" w:fill="auto"/>
          </w:tcPr>
          <w:p w:rsidR="000505DC" w:rsidRPr="00902FC6" w:rsidRDefault="000505DC" w:rsidP="000505DC">
            <w:r>
              <w:t xml:space="preserve">Follow instructions, not take risks and report hazards immediately. </w:t>
            </w:r>
            <w:r w:rsidRPr="00902FC6">
              <w:t>To pay attention and make sure fuel is properly fueli</w:t>
            </w:r>
            <w:r>
              <w:t>ng without any risks of spills or fire.</w:t>
            </w:r>
          </w:p>
        </w:tc>
      </w:tr>
    </w:tbl>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p w:rsidR="005B54C6" w:rsidRDefault="005B54C6" w:rsidP="000505DC">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06"/>
        <w:gridCol w:w="3402"/>
      </w:tblGrid>
      <w:tr w:rsidR="000505DC" w:rsidRPr="00CA6227" w:rsidTr="005B54C6">
        <w:trPr>
          <w:trHeight w:val="266"/>
        </w:trPr>
        <w:tc>
          <w:tcPr>
            <w:tcW w:w="10008" w:type="dxa"/>
            <w:gridSpan w:val="2"/>
            <w:shd w:val="clear" w:color="auto" w:fill="auto"/>
          </w:tcPr>
          <w:p w:rsidR="000505DC" w:rsidRPr="00CA6227" w:rsidRDefault="000505DC" w:rsidP="000505DC">
            <w:pPr>
              <w:pStyle w:val="Heading3"/>
            </w:pPr>
            <w:r w:rsidRPr="00CA6227">
              <w:t>Job Task Assessment</w:t>
            </w:r>
          </w:p>
          <w:p w:rsidR="000505DC" w:rsidRPr="000505DC" w:rsidRDefault="000505DC" w:rsidP="000505DC">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0505DC" w:rsidRPr="00CA6227" w:rsidTr="005B54C6">
        <w:trPr>
          <w:trHeight w:val="266"/>
        </w:trPr>
        <w:tc>
          <w:tcPr>
            <w:tcW w:w="6606" w:type="dxa"/>
            <w:shd w:val="clear" w:color="auto" w:fill="auto"/>
          </w:tcPr>
          <w:p w:rsidR="000505DC" w:rsidRPr="00CA6227" w:rsidRDefault="000505DC" w:rsidP="000505DC">
            <w:pPr>
              <w:pStyle w:val="Heading1"/>
            </w:pPr>
            <w:r w:rsidRPr="00CA6227">
              <w:t>Job Task</w:t>
            </w:r>
          </w:p>
        </w:tc>
        <w:tc>
          <w:tcPr>
            <w:tcW w:w="3402" w:type="dxa"/>
            <w:shd w:val="clear" w:color="auto" w:fill="auto"/>
          </w:tcPr>
          <w:p w:rsidR="000505DC" w:rsidRPr="00CA6227" w:rsidRDefault="000505DC" w:rsidP="000505DC">
            <w:pPr>
              <w:pStyle w:val="Heading1"/>
            </w:pPr>
            <w:r w:rsidRPr="00CA6227">
              <w:t>Hazards</w:t>
            </w:r>
          </w:p>
        </w:tc>
      </w:tr>
      <w:tr w:rsidR="000505DC" w:rsidTr="005B54C6">
        <w:trPr>
          <w:trHeight w:val="262"/>
        </w:trPr>
        <w:tc>
          <w:tcPr>
            <w:tcW w:w="6606" w:type="dxa"/>
            <w:shd w:val="clear" w:color="auto" w:fill="auto"/>
          </w:tcPr>
          <w:p w:rsidR="000505DC" w:rsidRDefault="000505DC" w:rsidP="000505DC">
            <w:r>
              <w:t>Position combine adjacent to designated fuel tank for combine</w:t>
            </w:r>
          </w:p>
          <w:p w:rsidR="000505DC" w:rsidRDefault="000505DC" w:rsidP="000505DC"/>
        </w:tc>
        <w:tc>
          <w:tcPr>
            <w:tcW w:w="3402" w:type="dxa"/>
            <w:shd w:val="clear" w:color="auto" w:fill="auto"/>
          </w:tcPr>
          <w:p w:rsidR="000505DC" w:rsidRDefault="000505DC" w:rsidP="000505DC">
            <w:r>
              <w:t>Collision with structures including storage tanks</w:t>
            </w:r>
          </w:p>
        </w:tc>
      </w:tr>
      <w:tr w:rsidR="000505DC" w:rsidTr="005B54C6">
        <w:trPr>
          <w:trHeight w:val="262"/>
        </w:trPr>
        <w:tc>
          <w:tcPr>
            <w:tcW w:w="6606" w:type="dxa"/>
            <w:shd w:val="clear" w:color="auto" w:fill="auto"/>
          </w:tcPr>
          <w:p w:rsidR="000505DC" w:rsidRDefault="000505DC" w:rsidP="000505DC">
            <w:r>
              <w:t>Shut down machine and remove ignition key</w:t>
            </w:r>
          </w:p>
          <w:p w:rsidR="000505DC" w:rsidRDefault="000505DC" w:rsidP="000505DC"/>
        </w:tc>
        <w:tc>
          <w:tcPr>
            <w:tcW w:w="3402" w:type="dxa"/>
            <w:shd w:val="clear" w:color="auto" w:fill="auto"/>
          </w:tcPr>
          <w:p w:rsidR="000505DC" w:rsidRDefault="000505DC" w:rsidP="000505DC">
            <w:r>
              <w:t>Inadvertent operation of machine while refueling</w:t>
            </w:r>
          </w:p>
        </w:tc>
      </w:tr>
      <w:tr w:rsidR="000505DC" w:rsidTr="005B54C6">
        <w:trPr>
          <w:trHeight w:val="262"/>
        </w:trPr>
        <w:tc>
          <w:tcPr>
            <w:tcW w:w="6606" w:type="dxa"/>
            <w:shd w:val="clear" w:color="auto" w:fill="auto"/>
          </w:tcPr>
          <w:p w:rsidR="000505DC" w:rsidRPr="00DC6A60" w:rsidRDefault="000505DC" w:rsidP="000505DC">
            <w:r>
              <w:t>Position step ladder to be stable and adjacent to combine fuel tank. Place fuel filler hose on top of ladder platform.</w:t>
            </w:r>
          </w:p>
        </w:tc>
        <w:tc>
          <w:tcPr>
            <w:tcW w:w="3402" w:type="dxa"/>
            <w:shd w:val="clear" w:color="auto" w:fill="auto"/>
          </w:tcPr>
          <w:p w:rsidR="000505DC" w:rsidRPr="00DC6A60" w:rsidRDefault="000505DC" w:rsidP="000505DC"/>
        </w:tc>
      </w:tr>
      <w:tr w:rsidR="000505DC" w:rsidTr="005B54C6">
        <w:trPr>
          <w:trHeight w:val="262"/>
        </w:trPr>
        <w:tc>
          <w:tcPr>
            <w:tcW w:w="6606" w:type="dxa"/>
            <w:shd w:val="clear" w:color="auto" w:fill="auto"/>
          </w:tcPr>
          <w:p w:rsidR="000505DC" w:rsidRDefault="000505DC" w:rsidP="000505DC">
            <w:r>
              <w:t>Climb ladder</w:t>
            </w:r>
          </w:p>
        </w:tc>
        <w:tc>
          <w:tcPr>
            <w:tcW w:w="3402" w:type="dxa"/>
            <w:shd w:val="clear" w:color="auto" w:fill="auto"/>
          </w:tcPr>
          <w:p w:rsidR="000505DC" w:rsidRPr="00DC6A60" w:rsidRDefault="000505DC" w:rsidP="000505DC">
            <w:r w:rsidRPr="00E74C1A">
              <w:t>Possibility of slipping when climbing ladder</w:t>
            </w:r>
          </w:p>
        </w:tc>
      </w:tr>
      <w:tr w:rsidR="000505DC" w:rsidTr="005B54C6">
        <w:trPr>
          <w:trHeight w:val="262"/>
        </w:trPr>
        <w:tc>
          <w:tcPr>
            <w:tcW w:w="6606" w:type="dxa"/>
            <w:shd w:val="clear" w:color="auto" w:fill="auto"/>
          </w:tcPr>
          <w:p w:rsidR="000505DC" w:rsidRDefault="000505DC" w:rsidP="000505DC">
            <w:r>
              <w:t xml:space="preserve">Place nozzle in fuel tank and open  fuel flow valve DO NOT BLOCK OR SECURE FUEL NOZZLE OPEN </w:t>
            </w:r>
          </w:p>
        </w:tc>
        <w:tc>
          <w:tcPr>
            <w:tcW w:w="3402" w:type="dxa"/>
            <w:shd w:val="clear" w:color="auto" w:fill="auto"/>
          </w:tcPr>
          <w:p w:rsidR="000505DC" w:rsidRDefault="000505DC" w:rsidP="000505DC">
            <w:r>
              <w:t>Fire / explosion / spill</w:t>
            </w:r>
          </w:p>
        </w:tc>
      </w:tr>
      <w:tr w:rsidR="000505DC" w:rsidTr="005B54C6">
        <w:trPr>
          <w:trHeight w:val="262"/>
        </w:trPr>
        <w:tc>
          <w:tcPr>
            <w:tcW w:w="6606" w:type="dxa"/>
            <w:shd w:val="clear" w:color="auto" w:fill="auto"/>
          </w:tcPr>
          <w:p w:rsidR="000505DC" w:rsidRDefault="000505DC" w:rsidP="000505DC">
            <w:r>
              <w:t>Monitor fuel level in tank / do not fill fuller than within 2.5 cm of tank top</w:t>
            </w:r>
          </w:p>
        </w:tc>
        <w:tc>
          <w:tcPr>
            <w:tcW w:w="3402" w:type="dxa"/>
            <w:shd w:val="clear" w:color="auto" w:fill="auto"/>
          </w:tcPr>
          <w:p w:rsidR="000505DC" w:rsidRDefault="000505DC" w:rsidP="000505DC">
            <w:r>
              <w:t>Fire / explosion / spill</w:t>
            </w:r>
          </w:p>
        </w:tc>
      </w:tr>
      <w:tr w:rsidR="000505DC" w:rsidTr="005B54C6">
        <w:trPr>
          <w:trHeight w:val="262"/>
        </w:trPr>
        <w:tc>
          <w:tcPr>
            <w:tcW w:w="6606" w:type="dxa"/>
            <w:shd w:val="clear" w:color="auto" w:fill="auto"/>
          </w:tcPr>
          <w:p w:rsidR="000505DC" w:rsidRDefault="000505DC" w:rsidP="000505DC">
            <w:r>
              <w:t>Do not move nozzle in and out of tank while fuel is flowing, this action may create a static electricity spark.</w:t>
            </w:r>
          </w:p>
        </w:tc>
        <w:tc>
          <w:tcPr>
            <w:tcW w:w="3402" w:type="dxa"/>
            <w:shd w:val="clear" w:color="auto" w:fill="auto"/>
          </w:tcPr>
          <w:p w:rsidR="000505DC" w:rsidRDefault="000505DC" w:rsidP="000505DC">
            <w:r>
              <w:t>Fire / explosion</w:t>
            </w:r>
          </w:p>
        </w:tc>
      </w:tr>
    </w:tbl>
    <w:p w:rsidR="005B54C6" w:rsidRDefault="005B54C6">
      <w:r>
        <w:br w:type="page"/>
      </w:r>
    </w:p>
    <w:p w:rsidR="005B54C6" w:rsidRDefault="005B54C6"/>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06"/>
        <w:gridCol w:w="3402"/>
      </w:tblGrid>
      <w:tr w:rsidR="000505DC" w:rsidTr="005B54C6">
        <w:trPr>
          <w:trHeight w:val="262"/>
        </w:trPr>
        <w:tc>
          <w:tcPr>
            <w:tcW w:w="6606" w:type="dxa"/>
            <w:shd w:val="clear" w:color="auto" w:fill="auto"/>
          </w:tcPr>
          <w:p w:rsidR="000505DC" w:rsidRDefault="000505DC" w:rsidP="000505DC">
            <w:r>
              <w:t>Stop fuel flow, drain filler spout and return nozzle and hose to tank / close valve at tank</w:t>
            </w:r>
          </w:p>
        </w:tc>
        <w:tc>
          <w:tcPr>
            <w:tcW w:w="3402" w:type="dxa"/>
            <w:shd w:val="clear" w:color="auto" w:fill="auto"/>
          </w:tcPr>
          <w:p w:rsidR="000505DC" w:rsidRDefault="000505DC" w:rsidP="000505DC">
            <w:r>
              <w:t>Slips, trips, fuel leaks</w:t>
            </w:r>
          </w:p>
        </w:tc>
      </w:tr>
      <w:tr w:rsidR="000505DC" w:rsidTr="005B54C6">
        <w:trPr>
          <w:trHeight w:val="262"/>
        </w:trPr>
        <w:tc>
          <w:tcPr>
            <w:tcW w:w="6606" w:type="dxa"/>
            <w:shd w:val="clear" w:color="auto" w:fill="auto"/>
          </w:tcPr>
          <w:p w:rsidR="000505DC" w:rsidRDefault="000505DC" w:rsidP="000505DC">
            <w:r>
              <w:t>Circle the combine looking for animals /people before entering operator’s station to start machine</w:t>
            </w:r>
          </w:p>
        </w:tc>
        <w:tc>
          <w:tcPr>
            <w:tcW w:w="3402" w:type="dxa"/>
            <w:shd w:val="clear" w:color="auto" w:fill="auto"/>
          </w:tcPr>
          <w:p w:rsidR="000505DC" w:rsidRDefault="000505DC" w:rsidP="000505DC"/>
        </w:tc>
      </w:tr>
    </w:tbl>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505DC" w:rsidRPr="00277BE7" w:rsidTr="005B54C6">
        <w:tc>
          <w:tcPr>
            <w:tcW w:w="10008" w:type="dxa"/>
            <w:shd w:val="clear" w:color="auto" w:fill="auto"/>
          </w:tcPr>
          <w:p w:rsidR="000505DC" w:rsidRDefault="000505DC" w:rsidP="000505DC">
            <w:pPr>
              <w:pStyle w:val="Heading3"/>
            </w:pPr>
            <w:r w:rsidRPr="00277BE7">
              <w:t>Hazard Controls</w:t>
            </w:r>
          </w:p>
          <w:p w:rsidR="000505DC" w:rsidRDefault="000505DC" w:rsidP="000505DC">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p w:rsidR="000505DC" w:rsidRPr="00277BE7" w:rsidRDefault="000505DC" w:rsidP="00BE5E26">
            <w:pPr>
              <w:pStyle w:val="BodyContent"/>
              <w:spacing w:before="0" w:beforeAutospacing="0" w:after="0" w:afterAutospacing="0" w:line="240" w:lineRule="auto"/>
              <w:ind w:left="0" w:right="-108"/>
              <w:jc w:val="right"/>
              <w:rPr>
                <w:rFonts w:ascii="HelveticaNeueLT Std Lt Ext" w:hAnsi="HelveticaNeueLT Std Lt Ext"/>
                <w:b/>
                <w:color w:val="FFFFFF" w:themeColor="background1"/>
              </w:rPr>
            </w:pPr>
            <w:r>
              <w:rPr>
                <w:rFonts w:ascii="HelveticaNeueLT Std Lt Ext" w:hAnsi="HelveticaNeueLT Std Lt Ext"/>
                <w:b/>
                <w:color w:val="FFFFFF" w:themeColor="background1"/>
                <w:sz w:val="16"/>
              </w:rPr>
              <w:t xml:space="preserve">.    </w:t>
            </w:r>
          </w:p>
        </w:tc>
      </w:tr>
      <w:tr w:rsidR="000505DC" w:rsidTr="005B54C6">
        <w:trPr>
          <w:trHeight w:val="261"/>
        </w:trPr>
        <w:tc>
          <w:tcPr>
            <w:tcW w:w="10008" w:type="dxa"/>
            <w:shd w:val="clear" w:color="auto" w:fill="auto"/>
          </w:tcPr>
          <w:p w:rsidR="000505DC" w:rsidRDefault="000505DC" w:rsidP="000505DC">
            <w:r>
              <w:t>Training, PPE, available fire extinguisher</w:t>
            </w:r>
          </w:p>
        </w:tc>
      </w:tr>
      <w:tr w:rsidR="000505DC" w:rsidTr="005B54C6">
        <w:trPr>
          <w:trHeight w:val="261"/>
        </w:trPr>
        <w:tc>
          <w:tcPr>
            <w:tcW w:w="10008" w:type="dxa"/>
            <w:shd w:val="clear" w:color="auto" w:fill="auto"/>
          </w:tcPr>
          <w:p w:rsidR="000505DC" w:rsidRDefault="000505DC" w:rsidP="000505DC">
            <w:r>
              <w:t>Following specified procedures explained during training.</w:t>
            </w:r>
          </w:p>
        </w:tc>
      </w:tr>
      <w:tr w:rsidR="000505DC" w:rsidTr="005B54C6">
        <w:trPr>
          <w:trHeight w:val="252"/>
        </w:trPr>
        <w:tc>
          <w:tcPr>
            <w:tcW w:w="10008" w:type="dxa"/>
            <w:shd w:val="clear" w:color="auto" w:fill="auto"/>
          </w:tcPr>
          <w:p w:rsidR="000505DC" w:rsidRDefault="000505DC" w:rsidP="000505DC">
            <w:r>
              <w:t>Do not move the filler nozzle in and out of the tank while fuel is flowing.</w:t>
            </w:r>
          </w:p>
        </w:tc>
      </w:tr>
      <w:tr w:rsidR="000505DC" w:rsidTr="005B54C6">
        <w:trPr>
          <w:trHeight w:val="324"/>
        </w:trPr>
        <w:tc>
          <w:tcPr>
            <w:tcW w:w="10008" w:type="dxa"/>
            <w:shd w:val="clear" w:color="auto" w:fill="auto"/>
          </w:tcPr>
          <w:p w:rsidR="000505DC" w:rsidRDefault="000505DC" w:rsidP="000505DC">
            <w:r>
              <w:t>Do not use your cell phone in close proximity to the fuel tank or while refueling.</w:t>
            </w:r>
          </w:p>
        </w:tc>
      </w:tr>
    </w:tbl>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p w:rsidR="005B54C6" w:rsidRDefault="005B54C6" w:rsidP="000505DC">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505DC" w:rsidRPr="00277BE7" w:rsidTr="005B54C6">
        <w:tc>
          <w:tcPr>
            <w:tcW w:w="10008" w:type="dxa"/>
            <w:shd w:val="clear" w:color="auto" w:fill="auto"/>
            <w:vAlign w:val="center"/>
          </w:tcPr>
          <w:p w:rsidR="000505DC" w:rsidRDefault="000505DC" w:rsidP="000505DC">
            <w:pPr>
              <w:pStyle w:val="Heading3"/>
            </w:pPr>
            <w:r w:rsidRPr="00277BE7">
              <w:t xml:space="preserve">Skill </w:t>
            </w:r>
            <w:r>
              <w:t>L</w:t>
            </w:r>
            <w:r w:rsidRPr="00277BE7">
              <w:t xml:space="preserve">evel / </w:t>
            </w:r>
            <w:r>
              <w:t>T</w:t>
            </w:r>
            <w:r w:rsidRPr="00277BE7">
              <w:t xml:space="preserve">raining </w:t>
            </w:r>
            <w:r>
              <w:t>Required to Perform the J</w:t>
            </w:r>
            <w:r w:rsidRPr="00277BE7">
              <w:t>ob</w:t>
            </w:r>
          </w:p>
          <w:p w:rsidR="000505DC" w:rsidRPr="0062478E" w:rsidRDefault="000505DC" w:rsidP="000505DC">
            <w:pPr>
              <w:pStyle w:val="Heading1"/>
            </w:pPr>
            <w:r>
              <w:t>(L</w:t>
            </w:r>
            <w:r w:rsidRPr="00CA6227">
              <w:t>ist training requirements</w:t>
            </w:r>
            <w:r>
              <w:t>)</w:t>
            </w:r>
          </w:p>
        </w:tc>
      </w:tr>
      <w:tr w:rsidR="000505DC" w:rsidTr="005B54C6">
        <w:tc>
          <w:tcPr>
            <w:tcW w:w="10008" w:type="dxa"/>
            <w:shd w:val="clear" w:color="auto" w:fill="auto"/>
          </w:tcPr>
          <w:p w:rsidR="000505DC" w:rsidRDefault="000505DC" w:rsidP="000505DC">
            <w:r>
              <w:t>Valid driver’s license</w:t>
            </w:r>
          </w:p>
        </w:tc>
      </w:tr>
      <w:tr w:rsidR="000505DC" w:rsidTr="005B54C6">
        <w:trPr>
          <w:trHeight w:val="387"/>
        </w:trPr>
        <w:tc>
          <w:tcPr>
            <w:tcW w:w="10008" w:type="dxa"/>
            <w:shd w:val="clear" w:color="auto" w:fill="auto"/>
          </w:tcPr>
          <w:p w:rsidR="000505DC" w:rsidRDefault="000505DC" w:rsidP="000505DC">
            <w:r>
              <w:t>Training by competent individual</w:t>
            </w:r>
          </w:p>
        </w:tc>
      </w:tr>
    </w:tbl>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p w:rsidR="005B54C6" w:rsidRDefault="005B54C6" w:rsidP="000505DC">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505DC" w:rsidRPr="00CA6227" w:rsidTr="005B54C6">
        <w:tc>
          <w:tcPr>
            <w:tcW w:w="10008" w:type="dxa"/>
            <w:shd w:val="clear" w:color="auto" w:fill="auto"/>
          </w:tcPr>
          <w:p w:rsidR="000505DC" w:rsidRDefault="000505DC" w:rsidP="000505DC">
            <w:pPr>
              <w:pStyle w:val="Heading3"/>
            </w:pPr>
            <w:r>
              <w:t>Communications P</w:t>
            </w:r>
            <w:r w:rsidRPr="00CA6227">
              <w:t>rocess</w:t>
            </w:r>
            <w:r>
              <w:t>es</w:t>
            </w:r>
          </w:p>
          <w:p w:rsidR="000505DC" w:rsidRPr="0062478E" w:rsidRDefault="000505DC" w:rsidP="000505DC">
            <w:pPr>
              <w:pStyle w:val="Heading1"/>
            </w:pPr>
            <w:r>
              <w:t>(C</w:t>
            </w:r>
            <w:r w:rsidRPr="00CA6227">
              <w:t>onsider working alone, further instructions, concerns, how will assistance be delivered)</w:t>
            </w:r>
          </w:p>
        </w:tc>
      </w:tr>
      <w:tr w:rsidR="000505DC" w:rsidTr="005B54C6">
        <w:tc>
          <w:tcPr>
            <w:tcW w:w="10008" w:type="dxa"/>
            <w:shd w:val="clear" w:color="auto" w:fill="auto"/>
          </w:tcPr>
          <w:p w:rsidR="000505DC" w:rsidRDefault="000505DC" w:rsidP="000505DC">
            <w:r>
              <w:t xml:space="preserve">All workers are to have their assigned cell phones with them at all times.  </w:t>
            </w:r>
          </w:p>
        </w:tc>
      </w:tr>
      <w:tr w:rsidR="000505DC" w:rsidTr="005B54C6">
        <w:tc>
          <w:tcPr>
            <w:tcW w:w="10008" w:type="dxa"/>
            <w:shd w:val="clear" w:color="auto" w:fill="auto"/>
          </w:tcPr>
          <w:p w:rsidR="000505DC" w:rsidRDefault="000505DC" w:rsidP="000505DC">
            <w:r>
              <w:t>Questions or concerns should be immediately communicated to Ashton’s cell phone.</w:t>
            </w:r>
          </w:p>
          <w:p w:rsidR="000505DC" w:rsidRDefault="000505DC" w:rsidP="000505DC">
            <w:r>
              <w:t>Do not use the cell phone in immediate proximity to the fuel storage tanks.</w:t>
            </w:r>
          </w:p>
        </w:tc>
      </w:tr>
    </w:tbl>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p w:rsidR="005B54C6" w:rsidRDefault="005B54C6" w:rsidP="000505DC">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505DC" w:rsidRPr="00CA6227" w:rsidTr="005B54C6">
        <w:tc>
          <w:tcPr>
            <w:tcW w:w="10008" w:type="dxa"/>
            <w:shd w:val="clear" w:color="auto" w:fill="auto"/>
          </w:tcPr>
          <w:p w:rsidR="000505DC" w:rsidRDefault="000505DC" w:rsidP="009D6E84">
            <w:pPr>
              <w:pStyle w:val="Heading3"/>
            </w:pPr>
            <w:r>
              <w:t>Emergency Procedures</w:t>
            </w:r>
          </w:p>
          <w:p w:rsidR="000505DC" w:rsidRPr="0062478E" w:rsidRDefault="000505DC" w:rsidP="009D6E84">
            <w:pPr>
              <w:pStyle w:val="Heading1"/>
            </w:pPr>
            <w:r>
              <w:t>(C</w:t>
            </w:r>
            <w:r w:rsidRPr="00CA6227">
              <w:t xml:space="preserve">onsider </w:t>
            </w:r>
            <w:r>
              <w:t>how the worker will initiate an emergency response</w:t>
            </w:r>
            <w:r w:rsidRPr="00CA6227">
              <w:t>)</w:t>
            </w:r>
          </w:p>
        </w:tc>
      </w:tr>
      <w:tr w:rsidR="000505DC" w:rsidTr="005B54C6">
        <w:tc>
          <w:tcPr>
            <w:tcW w:w="10008" w:type="dxa"/>
            <w:shd w:val="clear" w:color="auto" w:fill="auto"/>
          </w:tcPr>
          <w:p w:rsidR="000505DC" w:rsidRDefault="000505DC" w:rsidP="009D6E84">
            <w:r>
              <w:t>In the event of any incident, immediately release nozzle valve to shut off fuel supply.</w:t>
            </w:r>
          </w:p>
        </w:tc>
      </w:tr>
      <w:tr w:rsidR="000505DC" w:rsidTr="005B54C6">
        <w:tc>
          <w:tcPr>
            <w:tcW w:w="10008" w:type="dxa"/>
            <w:shd w:val="clear" w:color="auto" w:fill="auto"/>
          </w:tcPr>
          <w:p w:rsidR="000505DC" w:rsidRDefault="000505DC" w:rsidP="009D6E84">
            <w:r>
              <w:t xml:space="preserve">Move away from fuel tank(s) and combine and call Ashton on is cell phone to </w:t>
            </w:r>
            <w:proofErr w:type="gramStart"/>
            <w:r>
              <w:t>advise</w:t>
            </w:r>
            <w:proofErr w:type="gramEnd"/>
            <w:r>
              <w:t xml:space="preserve"> of the situation.</w:t>
            </w:r>
          </w:p>
        </w:tc>
      </w:tr>
    </w:tbl>
    <w:p w:rsidR="000505DC" w:rsidRDefault="000505DC" w:rsidP="000505DC">
      <w:pPr>
        <w:pStyle w:val="BodyContent"/>
        <w:spacing w:before="0" w:beforeAutospacing="0" w:after="0" w:afterAutospacing="0" w:line="240" w:lineRule="auto"/>
        <w:ind w:right="1440"/>
        <w:rPr>
          <w:rFonts w:ascii="HelveticaNeueLT Std Lt Ext" w:hAnsi="HelveticaNeueLT Std Lt Ext"/>
        </w:rPr>
      </w:pPr>
    </w:p>
    <w:p w:rsidR="005B54C6" w:rsidRDefault="005B54C6" w:rsidP="000505DC">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505DC" w:rsidRPr="00CA6227" w:rsidTr="005B54C6">
        <w:tc>
          <w:tcPr>
            <w:tcW w:w="10008" w:type="dxa"/>
            <w:shd w:val="clear" w:color="auto" w:fill="auto"/>
          </w:tcPr>
          <w:p w:rsidR="000505DC" w:rsidRDefault="000505DC" w:rsidP="009D6E84">
            <w:pPr>
              <w:pStyle w:val="Heading3"/>
            </w:pPr>
            <w:r>
              <w:t>Expected Result</w:t>
            </w:r>
          </w:p>
          <w:p w:rsidR="000505DC" w:rsidRPr="0062478E" w:rsidRDefault="000505DC" w:rsidP="009D6E84">
            <w:pPr>
              <w:pStyle w:val="Heading1"/>
            </w:pPr>
            <w:r>
              <w:t>(C</w:t>
            </w:r>
            <w:r w:rsidRPr="00CA6227">
              <w:t xml:space="preserve">onsider </w:t>
            </w:r>
            <w:r>
              <w:t>the benefits of the Standard Operating Practice for farm operations</w:t>
            </w:r>
            <w:r w:rsidRPr="00CA6227">
              <w:t>)</w:t>
            </w:r>
          </w:p>
        </w:tc>
      </w:tr>
      <w:tr w:rsidR="000505DC" w:rsidTr="005B54C6">
        <w:tc>
          <w:tcPr>
            <w:tcW w:w="10008" w:type="dxa"/>
            <w:shd w:val="clear" w:color="auto" w:fill="auto"/>
          </w:tcPr>
          <w:p w:rsidR="000505DC" w:rsidRDefault="000505DC" w:rsidP="009D6E84">
            <w:r>
              <w:t>Equipment will be refueled quickly without fuel spillage or incident.</w:t>
            </w:r>
          </w:p>
        </w:tc>
      </w:tr>
    </w:tbl>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C6" w:rsidRPr="00F42EE1" w:rsidRDefault="005B54C6" w:rsidP="005B54C6">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5B54C6" w:rsidRPr="00F42EE1" w:rsidRDefault="005B54C6" w:rsidP="005B54C6">
    <w:r w:rsidRPr="00F42EE1">
      <w:rPr>
        <w:noProof/>
      </w:rPr>
      <w:drawing>
        <wp:inline distT="0" distB="0" distL="0" distR="0" wp14:anchorId="11F8DA40" wp14:editId="12D98BDD">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5B54C6" w:rsidRPr="00F42EE1" w:rsidRDefault="005B54C6" w:rsidP="005B54C6">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C6" w:rsidRPr="00151061" w:rsidRDefault="005B54C6" w:rsidP="005B54C6">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8025AD3" wp14:editId="3D634431">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243BE917" wp14:editId="2969D04D">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904AF"/>
    <w:rsid w:val="001A6E0A"/>
    <w:rsid w:val="001C23F0"/>
    <w:rsid w:val="00207049"/>
    <w:rsid w:val="002114C2"/>
    <w:rsid w:val="00226581"/>
    <w:rsid w:val="0023401F"/>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B524C"/>
    <w:rsid w:val="004E1045"/>
    <w:rsid w:val="004F19B3"/>
    <w:rsid w:val="004F6232"/>
    <w:rsid w:val="00530203"/>
    <w:rsid w:val="00555736"/>
    <w:rsid w:val="00592BB8"/>
    <w:rsid w:val="005960AF"/>
    <w:rsid w:val="005A334A"/>
    <w:rsid w:val="005B54C6"/>
    <w:rsid w:val="005D5FC0"/>
    <w:rsid w:val="0060054E"/>
    <w:rsid w:val="0062478E"/>
    <w:rsid w:val="00684AB8"/>
    <w:rsid w:val="00692A9D"/>
    <w:rsid w:val="006B2894"/>
    <w:rsid w:val="006B3AF4"/>
    <w:rsid w:val="006C4E46"/>
    <w:rsid w:val="006E094F"/>
    <w:rsid w:val="00722EE2"/>
    <w:rsid w:val="007708FE"/>
    <w:rsid w:val="007D3774"/>
    <w:rsid w:val="00812266"/>
    <w:rsid w:val="00815FD0"/>
    <w:rsid w:val="00892665"/>
    <w:rsid w:val="008A1E58"/>
    <w:rsid w:val="008C423D"/>
    <w:rsid w:val="00902C7B"/>
    <w:rsid w:val="00952CDC"/>
    <w:rsid w:val="009D6E84"/>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42CD0"/>
    <w:rsid w:val="00E431BD"/>
    <w:rsid w:val="00EB5336"/>
    <w:rsid w:val="00EB59BA"/>
    <w:rsid w:val="00ED40C8"/>
    <w:rsid w:val="00ED5DB3"/>
    <w:rsid w:val="00F07894"/>
    <w:rsid w:val="00F273D8"/>
    <w:rsid w:val="00F55597"/>
    <w:rsid w:val="00F60008"/>
    <w:rsid w:val="00F83F41"/>
    <w:rsid w:val="00F871C5"/>
    <w:rsid w:val="00F96F63"/>
    <w:rsid w:val="00FA347C"/>
    <w:rsid w:val="00FA3A4C"/>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C6"/>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5B54C6"/>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5B54C6"/>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5B54C6"/>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6F9193-13FB-46AB-A086-DAE28EC7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2018-06-04T20:26:00Z</dcterms:created>
  <dcterms:modified xsi:type="dcterms:W3CDTF">2018-06-05T19:31:00Z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AGUCMINT-3614585</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3804094</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http://agucm.agric.gov.ab.ca/cs/idcplg?IdcService=DESKTOP_DOC_INFO&amp;dDocName=AGUCMINT-3614585&amp;dID=3804094&amp;ClientControlled=DocMan,taskpane&amp;coreContentOnly=1</vt:lpwstr>
  </property>
</Properties>
</file>