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15B" w:rsidRPr="0044615B" w:rsidRDefault="0044615B" w:rsidP="0044615B">
      <w:pPr>
        <w:rPr>
          <w:sz w:val="28"/>
          <w:szCs w:val="28"/>
        </w:rPr>
      </w:pPr>
    </w:p>
    <w:p w:rsidR="0044615B" w:rsidRPr="0044615B" w:rsidRDefault="0044615B" w:rsidP="0044615B">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301DBB" w:rsidRDefault="00301DBB"/>
    <w:p w:rsidR="006915DB" w:rsidRPr="00D17B0F" w:rsidRDefault="006915DB" w:rsidP="006915DB"/>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6915DB" w:rsidTr="0044615B">
        <w:trPr>
          <w:trHeight w:val="397"/>
        </w:trPr>
        <w:tc>
          <w:tcPr>
            <w:tcW w:w="10008" w:type="dxa"/>
            <w:gridSpan w:val="2"/>
            <w:shd w:val="clear" w:color="auto" w:fill="auto"/>
            <w:vAlign w:val="center"/>
          </w:tcPr>
          <w:p w:rsidR="006915DB" w:rsidRPr="00277BE7" w:rsidRDefault="006915DB" w:rsidP="006915DB">
            <w:pPr>
              <w:pStyle w:val="Heading3"/>
            </w:pPr>
            <w:r w:rsidRPr="00277BE7">
              <w:t>General Information</w:t>
            </w:r>
          </w:p>
        </w:tc>
      </w:tr>
      <w:tr w:rsidR="006915DB" w:rsidTr="0044615B">
        <w:trPr>
          <w:trHeight w:val="397"/>
        </w:trPr>
        <w:tc>
          <w:tcPr>
            <w:tcW w:w="4622" w:type="dxa"/>
            <w:shd w:val="clear" w:color="auto" w:fill="auto"/>
            <w:vAlign w:val="bottom"/>
          </w:tcPr>
          <w:p w:rsidR="006915DB" w:rsidRPr="00277BE7" w:rsidRDefault="006915DB" w:rsidP="006915DB">
            <w:r w:rsidRPr="00277BE7">
              <w:t>SOP number</w:t>
            </w:r>
          </w:p>
        </w:tc>
        <w:tc>
          <w:tcPr>
            <w:tcW w:w="5386" w:type="dxa"/>
            <w:shd w:val="clear" w:color="auto" w:fill="auto"/>
            <w:vAlign w:val="bottom"/>
          </w:tcPr>
          <w:p w:rsidR="006915DB" w:rsidRPr="00277BE7" w:rsidRDefault="006915DB" w:rsidP="006915DB">
            <w:r w:rsidRPr="00277BE7">
              <w:t>Written by:</w:t>
            </w:r>
          </w:p>
        </w:tc>
      </w:tr>
      <w:tr w:rsidR="006915DB" w:rsidTr="0044615B">
        <w:trPr>
          <w:trHeight w:val="397"/>
        </w:trPr>
        <w:tc>
          <w:tcPr>
            <w:tcW w:w="4622" w:type="dxa"/>
            <w:shd w:val="clear" w:color="auto" w:fill="auto"/>
            <w:vAlign w:val="bottom"/>
          </w:tcPr>
          <w:p w:rsidR="006915DB" w:rsidRPr="00277BE7" w:rsidRDefault="006915DB" w:rsidP="006915DB">
            <w:r w:rsidRPr="00277BE7">
              <w:t>Date effective</w:t>
            </w:r>
            <w:r>
              <w:t>: 01 01 14</w:t>
            </w:r>
          </w:p>
        </w:tc>
        <w:tc>
          <w:tcPr>
            <w:tcW w:w="5386" w:type="dxa"/>
            <w:shd w:val="clear" w:color="auto" w:fill="auto"/>
            <w:vAlign w:val="bottom"/>
          </w:tcPr>
          <w:p w:rsidR="006915DB" w:rsidRPr="00277BE7" w:rsidRDefault="006915DB" w:rsidP="006915DB">
            <w:r w:rsidRPr="00277BE7">
              <w:t>Last modified</w:t>
            </w:r>
            <w:r>
              <w:t>: 17 03 14</w:t>
            </w:r>
          </w:p>
        </w:tc>
      </w:tr>
      <w:tr w:rsidR="006915DB" w:rsidTr="0044615B">
        <w:trPr>
          <w:trHeight w:val="397"/>
        </w:trPr>
        <w:tc>
          <w:tcPr>
            <w:tcW w:w="10008" w:type="dxa"/>
            <w:gridSpan w:val="2"/>
            <w:shd w:val="clear" w:color="auto" w:fill="auto"/>
            <w:vAlign w:val="bottom"/>
          </w:tcPr>
          <w:p w:rsidR="006915DB" w:rsidRPr="00277BE7" w:rsidRDefault="006915DB" w:rsidP="006915DB">
            <w:r w:rsidRPr="00277BE7">
              <w:t>Job task:</w:t>
            </w:r>
            <w:r>
              <w:t xml:space="preserve"> Operating Front End Loader</w:t>
            </w:r>
          </w:p>
        </w:tc>
      </w:tr>
      <w:tr w:rsidR="006915DB" w:rsidTr="0044615B">
        <w:trPr>
          <w:trHeight w:val="397"/>
        </w:trPr>
        <w:tc>
          <w:tcPr>
            <w:tcW w:w="4622" w:type="dxa"/>
            <w:shd w:val="clear" w:color="auto" w:fill="auto"/>
            <w:vAlign w:val="bottom"/>
          </w:tcPr>
          <w:p w:rsidR="006915DB" w:rsidRPr="00277BE7" w:rsidRDefault="006915DB" w:rsidP="006915DB">
            <w:r w:rsidRPr="00277BE7">
              <w:t>Location</w:t>
            </w:r>
            <w:r>
              <w:t>: Throughout Farm</w:t>
            </w:r>
          </w:p>
        </w:tc>
        <w:tc>
          <w:tcPr>
            <w:tcW w:w="5386" w:type="dxa"/>
            <w:shd w:val="clear" w:color="auto" w:fill="auto"/>
            <w:vAlign w:val="bottom"/>
          </w:tcPr>
          <w:p w:rsidR="006915DB" w:rsidRPr="00277BE7" w:rsidRDefault="006915DB" w:rsidP="006915DB">
            <w:r w:rsidRPr="00277BE7">
              <w:t>No of employees performing job:</w:t>
            </w:r>
            <w:r>
              <w:t xml:space="preserve"> 1</w:t>
            </w:r>
          </w:p>
        </w:tc>
      </w:tr>
    </w:tbl>
    <w:p w:rsidR="006915DB" w:rsidRDefault="006915DB" w:rsidP="006915DB"/>
    <w:p w:rsidR="0044615B" w:rsidRDefault="0044615B" w:rsidP="006915DB"/>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7158"/>
      </w:tblGrid>
      <w:tr w:rsidR="006915DB" w:rsidRPr="00277BE7" w:rsidTr="0044615B">
        <w:tc>
          <w:tcPr>
            <w:tcW w:w="9990" w:type="dxa"/>
            <w:gridSpan w:val="2"/>
            <w:shd w:val="clear" w:color="auto" w:fill="auto"/>
            <w:vAlign w:val="center"/>
          </w:tcPr>
          <w:p w:rsidR="006915DB" w:rsidRDefault="006915DB" w:rsidP="006915DB">
            <w:pPr>
              <w:pStyle w:val="Heading3"/>
            </w:pPr>
            <w:r w:rsidRPr="00277BE7">
              <w:t>Responsibilities</w:t>
            </w:r>
          </w:p>
          <w:p w:rsidR="006915DB" w:rsidRPr="006915DB" w:rsidRDefault="006915DB" w:rsidP="006915DB">
            <w:pPr>
              <w:pStyle w:val="Heading1"/>
            </w:pPr>
            <w:r>
              <w:t>(W</w:t>
            </w:r>
            <w:r w:rsidRPr="00277BE7">
              <w:t>ho is responsible for each aspect of the job)</w:t>
            </w:r>
          </w:p>
        </w:tc>
      </w:tr>
      <w:tr w:rsidR="006915DB" w:rsidRPr="00CA6227" w:rsidTr="0044615B">
        <w:tc>
          <w:tcPr>
            <w:tcW w:w="2832" w:type="dxa"/>
            <w:shd w:val="clear" w:color="auto" w:fill="auto"/>
          </w:tcPr>
          <w:p w:rsidR="006915DB" w:rsidRPr="00CA6227" w:rsidRDefault="006915DB" w:rsidP="006915DB">
            <w:pPr>
              <w:pStyle w:val="Heading1"/>
            </w:pPr>
            <w:r w:rsidRPr="00CA6227">
              <w:t>Position</w:t>
            </w:r>
          </w:p>
        </w:tc>
        <w:tc>
          <w:tcPr>
            <w:tcW w:w="7158" w:type="dxa"/>
            <w:shd w:val="clear" w:color="auto" w:fill="auto"/>
          </w:tcPr>
          <w:p w:rsidR="006915DB" w:rsidRPr="00CA6227" w:rsidRDefault="006915DB" w:rsidP="006915DB">
            <w:pPr>
              <w:pStyle w:val="Heading1"/>
            </w:pPr>
            <w:r w:rsidRPr="00CA6227">
              <w:t>Duties</w:t>
            </w:r>
          </w:p>
        </w:tc>
      </w:tr>
      <w:tr w:rsidR="006915DB" w:rsidTr="0044615B">
        <w:tc>
          <w:tcPr>
            <w:tcW w:w="2832" w:type="dxa"/>
            <w:shd w:val="clear" w:color="auto" w:fill="auto"/>
          </w:tcPr>
          <w:p w:rsidR="006915DB" w:rsidRPr="00667829" w:rsidRDefault="006915DB" w:rsidP="006915DB">
            <w:r>
              <w:t>Employer</w:t>
            </w:r>
          </w:p>
        </w:tc>
        <w:tc>
          <w:tcPr>
            <w:tcW w:w="7158" w:type="dxa"/>
            <w:shd w:val="clear" w:color="auto" w:fill="auto"/>
          </w:tcPr>
          <w:p w:rsidR="006915DB" w:rsidRDefault="006915DB" w:rsidP="006915DB">
            <w:r>
              <w:t>Educate workers, provide safe workplace, ensure equipment is fully functional and supervision.</w:t>
            </w:r>
          </w:p>
        </w:tc>
      </w:tr>
      <w:tr w:rsidR="006915DB" w:rsidTr="0044615B">
        <w:tc>
          <w:tcPr>
            <w:tcW w:w="2832" w:type="dxa"/>
            <w:shd w:val="clear" w:color="auto" w:fill="auto"/>
          </w:tcPr>
          <w:p w:rsidR="006915DB" w:rsidRPr="00667829" w:rsidRDefault="006915DB" w:rsidP="006915DB">
            <w:r>
              <w:t>Lead Hand</w:t>
            </w:r>
          </w:p>
        </w:tc>
        <w:tc>
          <w:tcPr>
            <w:tcW w:w="7158" w:type="dxa"/>
            <w:shd w:val="clear" w:color="auto" w:fill="auto"/>
          </w:tcPr>
          <w:p w:rsidR="006915DB" w:rsidRDefault="006915DB" w:rsidP="006915DB">
            <w:r>
              <w:t>Discuss hazards and safest ways to work, report any unsafe operations to employer and ensure workers follow correct steps.</w:t>
            </w:r>
          </w:p>
        </w:tc>
      </w:tr>
      <w:tr w:rsidR="006915DB" w:rsidTr="0044615B">
        <w:tc>
          <w:tcPr>
            <w:tcW w:w="2832" w:type="dxa"/>
            <w:shd w:val="clear" w:color="auto" w:fill="auto"/>
          </w:tcPr>
          <w:p w:rsidR="006915DB" w:rsidRPr="00667829" w:rsidRDefault="006915DB" w:rsidP="006915DB">
            <w:r>
              <w:t>Workers</w:t>
            </w:r>
          </w:p>
        </w:tc>
        <w:tc>
          <w:tcPr>
            <w:tcW w:w="7158" w:type="dxa"/>
            <w:shd w:val="clear" w:color="auto" w:fill="auto"/>
          </w:tcPr>
          <w:p w:rsidR="006915DB" w:rsidRDefault="006915DB" w:rsidP="006915DB">
            <w:r>
              <w:t>Understand and follow instructions and safety steps, wear the proper PPE and report any unsafe situations to the lead hand.</w:t>
            </w:r>
          </w:p>
        </w:tc>
      </w:tr>
    </w:tbl>
    <w:p w:rsidR="006915DB" w:rsidRDefault="006915DB" w:rsidP="006915DB"/>
    <w:p w:rsidR="0044615B" w:rsidRDefault="0044615B" w:rsidP="006915DB"/>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08"/>
        <w:gridCol w:w="5400"/>
      </w:tblGrid>
      <w:tr w:rsidR="006915DB" w:rsidRPr="00CA6227" w:rsidTr="0044615B">
        <w:trPr>
          <w:trHeight w:val="266"/>
        </w:trPr>
        <w:tc>
          <w:tcPr>
            <w:tcW w:w="10008" w:type="dxa"/>
            <w:gridSpan w:val="2"/>
            <w:shd w:val="clear" w:color="auto" w:fill="auto"/>
          </w:tcPr>
          <w:p w:rsidR="006915DB" w:rsidRPr="00CA6227" w:rsidRDefault="006915DB" w:rsidP="006915DB">
            <w:pPr>
              <w:pStyle w:val="Heading3"/>
            </w:pPr>
            <w:r w:rsidRPr="00CA6227">
              <w:t>Job Task Assessment</w:t>
            </w:r>
          </w:p>
          <w:p w:rsidR="006915DB" w:rsidRPr="00CA6227" w:rsidRDefault="006915DB" w:rsidP="006915DB">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6915DB" w:rsidRPr="00CA6227" w:rsidTr="0044615B">
        <w:trPr>
          <w:trHeight w:val="266"/>
        </w:trPr>
        <w:tc>
          <w:tcPr>
            <w:tcW w:w="4608" w:type="dxa"/>
            <w:shd w:val="clear" w:color="auto" w:fill="auto"/>
          </w:tcPr>
          <w:p w:rsidR="006915DB" w:rsidRPr="00CA6227" w:rsidRDefault="006915DB" w:rsidP="006915DB">
            <w:pPr>
              <w:pStyle w:val="Heading1"/>
            </w:pPr>
            <w:r w:rsidRPr="00CA6227">
              <w:t>Job Task</w:t>
            </w:r>
          </w:p>
        </w:tc>
        <w:tc>
          <w:tcPr>
            <w:tcW w:w="5400" w:type="dxa"/>
            <w:shd w:val="clear" w:color="auto" w:fill="auto"/>
          </w:tcPr>
          <w:p w:rsidR="006915DB" w:rsidRPr="00CA6227" w:rsidRDefault="006915DB" w:rsidP="006915DB">
            <w:pPr>
              <w:pStyle w:val="Heading1"/>
            </w:pPr>
            <w:r w:rsidRPr="00CA6227">
              <w:t>Hazards</w:t>
            </w:r>
          </w:p>
        </w:tc>
      </w:tr>
      <w:tr w:rsidR="006915DB" w:rsidTr="0044615B">
        <w:trPr>
          <w:trHeight w:val="262"/>
        </w:trPr>
        <w:tc>
          <w:tcPr>
            <w:tcW w:w="4608" w:type="dxa"/>
            <w:shd w:val="clear" w:color="auto" w:fill="auto"/>
          </w:tcPr>
          <w:p w:rsidR="006915DB" w:rsidRDefault="006915DB" w:rsidP="006915DB">
            <w:r>
              <w:t>Mounting and dismounting equipment</w:t>
            </w:r>
          </w:p>
        </w:tc>
        <w:tc>
          <w:tcPr>
            <w:tcW w:w="5400" w:type="dxa"/>
            <w:shd w:val="clear" w:color="auto" w:fill="auto"/>
          </w:tcPr>
          <w:p w:rsidR="006915DB" w:rsidRDefault="006915DB" w:rsidP="006915DB">
            <w:r>
              <w:t>Muscle strains, slips and falls from height</w:t>
            </w:r>
          </w:p>
        </w:tc>
      </w:tr>
      <w:tr w:rsidR="006915DB" w:rsidTr="0044615B">
        <w:trPr>
          <w:trHeight w:val="262"/>
        </w:trPr>
        <w:tc>
          <w:tcPr>
            <w:tcW w:w="4608" w:type="dxa"/>
            <w:shd w:val="clear" w:color="auto" w:fill="auto"/>
          </w:tcPr>
          <w:p w:rsidR="006915DB" w:rsidRDefault="006915DB" w:rsidP="006915DB">
            <w:r>
              <w:t>Operating around people</w:t>
            </w:r>
          </w:p>
        </w:tc>
        <w:tc>
          <w:tcPr>
            <w:tcW w:w="5400" w:type="dxa"/>
            <w:shd w:val="clear" w:color="auto" w:fill="auto"/>
          </w:tcPr>
          <w:p w:rsidR="006915DB" w:rsidRDefault="006915DB" w:rsidP="006915DB">
            <w:r>
              <w:t>Run over, knock into someone, pinch points, load fall on top of someone and distractions</w:t>
            </w:r>
          </w:p>
        </w:tc>
      </w:tr>
      <w:tr w:rsidR="006915DB" w:rsidTr="0044615B">
        <w:trPr>
          <w:trHeight w:val="262"/>
        </w:trPr>
        <w:tc>
          <w:tcPr>
            <w:tcW w:w="4608" w:type="dxa"/>
            <w:shd w:val="clear" w:color="auto" w:fill="auto"/>
          </w:tcPr>
          <w:p w:rsidR="006915DB" w:rsidRDefault="006915DB" w:rsidP="006915DB">
            <w:r>
              <w:t>Transporting Load</w:t>
            </w:r>
          </w:p>
        </w:tc>
        <w:tc>
          <w:tcPr>
            <w:tcW w:w="5400" w:type="dxa"/>
            <w:shd w:val="clear" w:color="auto" w:fill="auto"/>
          </w:tcPr>
          <w:p w:rsidR="006915DB" w:rsidRDefault="006915DB" w:rsidP="006915DB">
            <w:r>
              <w:t xml:space="preserve">Tip over and material falling back onto operator,  roll over on incline,  </w:t>
            </w:r>
          </w:p>
        </w:tc>
      </w:tr>
      <w:tr w:rsidR="006915DB" w:rsidTr="0044615B">
        <w:trPr>
          <w:trHeight w:val="262"/>
        </w:trPr>
        <w:tc>
          <w:tcPr>
            <w:tcW w:w="4608" w:type="dxa"/>
            <w:shd w:val="clear" w:color="auto" w:fill="auto"/>
          </w:tcPr>
          <w:p w:rsidR="006915DB" w:rsidRDefault="006915DB" w:rsidP="006915DB">
            <w:r>
              <w:t>Maintenance</w:t>
            </w:r>
          </w:p>
        </w:tc>
        <w:tc>
          <w:tcPr>
            <w:tcW w:w="5400" w:type="dxa"/>
            <w:shd w:val="clear" w:color="auto" w:fill="auto"/>
          </w:tcPr>
          <w:p w:rsidR="006915DB" w:rsidRDefault="006915DB" w:rsidP="006915DB">
            <w:r>
              <w:t>Moving parts, pinch points, entanglement, compressed fluids, flammable liquids, hot surfaces</w:t>
            </w:r>
          </w:p>
        </w:tc>
      </w:tr>
      <w:tr w:rsidR="006915DB" w:rsidTr="0044615B">
        <w:trPr>
          <w:trHeight w:val="262"/>
        </w:trPr>
        <w:tc>
          <w:tcPr>
            <w:tcW w:w="4608" w:type="dxa"/>
            <w:shd w:val="clear" w:color="auto" w:fill="auto"/>
          </w:tcPr>
          <w:p w:rsidR="006915DB" w:rsidRPr="00780861" w:rsidRDefault="006915DB" w:rsidP="006915DB">
            <w:pPr>
              <w:rPr>
                <w:szCs w:val="22"/>
              </w:rPr>
            </w:pPr>
            <w:r w:rsidRPr="00B75B9B">
              <w:rPr>
                <w:szCs w:val="22"/>
              </w:rPr>
              <w:t>Operating</w:t>
            </w:r>
            <w:r>
              <w:rPr>
                <w:szCs w:val="22"/>
              </w:rPr>
              <w:t xml:space="preserve"> in tight spaces</w:t>
            </w:r>
          </w:p>
        </w:tc>
        <w:tc>
          <w:tcPr>
            <w:tcW w:w="5400" w:type="dxa"/>
            <w:shd w:val="clear" w:color="auto" w:fill="auto"/>
          </w:tcPr>
          <w:p w:rsidR="006915DB" w:rsidRDefault="006915DB" w:rsidP="006915DB">
            <w:r>
              <w:t xml:space="preserve">Back into wall, back into product, back into bystander, striking objects with loader components. </w:t>
            </w:r>
          </w:p>
        </w:tc>
      </w:tr>
      <w:tr w:rsidR="006915DB" w:rsidTr="0044615B">
        <w:trPr>
          <w:trHeight w:val="262"/>
        </w:trPr>
        <w:tc>
          <w:tcPr>
            <w:tcW w:w="4608" w:type="dxa"/>
            <w:shd w:val="clear" w:color="auto" w:fill="auto"/>
          </w:tcPr>
          <w:p w:rsidR="006915DB" w:rsidRDefault="006915DB" w:rsidP="006915DB">
            <w:r>
              <w:t>Scrapping with bucket</w:t>
            </w:r>
          </w:p>
        </w:tc>
        <w:tc>
          <w:tcPr>
            <w:tcW w:w="5400" w:type="dxa"/>
            <w:shd w:val="clear" w:color="auto" w:fill="auto"/>
          </w:tcPr>
          <w:p w:rsidR="006915DB" w:rsidRDefault="006915DB" w:rsidP="006915DB">
            <w:r>
              <w:t xml:space="preserve">Catch an edge causing sudden stop. </w:t>
            </w:r>
          </w:p>
        </w:tc>
      </w:tr>
      <w:tr w:rsidR="006915DB" w:rsidTr="0044615B">
        <w:trPr>
          <w:trHeight w:val="262"/>
        </w:trPr>
        <w:tc>
          <w:tcPr>
            <w:tcW w:w="4608" w:type="dxa"/>
            <w:shd w:val="clear" w:color="auto" w:fill="auto"/>
          </w:tcPr>
          <w:p w:rsidR="006915DB" w:rsidRDefault="006915DB" w:rsidP="006915DB">
            <w:r>
              <w:t>Working remotely or away from others</w:t>
            </w:r>
          </w:p>
        </w:tc>
        <w:tc>
          <w:tcPr>
            <w:tcW w:w="5400" w:type="dxa"/>
            <w:shd w:val="clear" w:color="auto" w:fill="auto"/>
          </w:tcPr>
          <w:p w:rsidR="006915DB" w:rsidRDefault="006915DB" w:rsidP="006915DB">
            <w:r>
              <w:t>Delayed response to emergency situations</w:t>
            </w:r>
          </w:p>
        </w:tc>
      </w:tr>
    </w:tbl>
    <w:p w:rsidR="006915DB" w:rsidRDefault="006915DB" w:rsidP="006915DB">
      <w:pPr>
        <w:pStyle w:val="BodyContent"/>
        <w:spacing w:before="0" w:beforeAutospacing="0" w:after="0" w:afterAutospacing="0" w:line="240" w:lineRule="auto"/>
        <w:ind w:right="1440"/>
        <w:rPr>
          <w:rFonts w:ascii="HelveticaNeueLT Std Lt Ext" w:hAnsi="HelveticaNeueLT Std Lt Ext"/>
        </w:rPr>
      </w:pPr>
    </w:p>
    <w:p w:rsidR="0044615B" w:rsidRDefault="0044615B" w:rsidP="006915DB">
      <w:pPr>
        <w:pStyle w:val="BodyContent"/>
        <w:spacing w:before="0" w:beforeAutospacing="0" w:after="0" w:afterAutospacing="0" w:line="240" w:lineRule="auto"/>
        <w:ind w:right="1440"/>
        <w:rPr>
          <w:rFonts w:ascii="HelveticaNeueLT Std Lt Ext" w:hAnsi="HelveticaNeueLT Std Lt Ext"/>
        </w:rPr>
      </w:pPr>
    </w:p>
    <w:p w:rsidR="0044615B" w:rsidRDefault="0044615B" w:rsidP="006915DB">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915DB" w:rsidRPr="00277BE7" w:rsidTr="0044615B">
        <w:tc>
          <w:tcPr>
            <w:tcW w:w="10008" w:type="dxa"/>
            <w:shd w:val="clear" w:color="auto" w:fill="auto"/>
          </w:tcPr>
          <w:p w:rsidR="006915DB" w:rsidRDefault="006915DB" w:rsidP="006915DB">
            <w:pPr>
              <w:pStyle w:val="Heading3"/>
            </w:pPr>
            <w:r w:rsidRPr="00277BE7">
              <w:lastRenderedPageBreak/>
              <w:t>Hazard Controls</w:t>
            </w:r>
          </w:p>
          <w:p w:rsidR="006915DB" w:rsidRDefault="006915DB" w:rsidP="006915DB">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p w:rsidR="006915DB" w:rsidRPr="00277BE7" w:rsidRDefault="006915DB" w:rsidP="00BE5E26">
            <w:pPr>
              <w:pStyle w:val="BodyContent"/>
              <w:spacing w:before="0" w:beforeAutospacing="0" w:after="0" w:afterAutospacing="0" w:line="240" w:lineRule="auto"/>
              <w:ind w:left="0" w:right="-108"/>
              <w:jc w:val="right"/>
              <w:rPr>
                <w:rFonts w:ascii="HelveticaNeueLT Std Lt Ext" w:hAnsi="HelveticaNeueLT Std Lt Ext"/>
                <w:b/>
                <w:color w:val="FFFFFF" w:themeColor="background1"/>
              </w:rPr>
            </w:pPr>
            <w:r>
              <w:rPr>
                <w:rFonts w:ascii="HelveticaNeueLT Std Lt Ext" w:hAnsi="HelveticaNeueLT Std Lt Ext"/>
                <w:b/>
                <w:color w:val="FFFFFF" w:themeColor="background1"/>
                <w:sz w:val="16"/>
              </w:rPr>
              <w:t xml:space="preserve">.    </w:t>
            </w:r>
          </w:p>
        </w:tc>
      </w:tr>
      <w:tr w:rsidR="006915DB" w:rsidTr="0044615B">
        <w:trPr>
          <w:trHeight w:val="516"/>
        </w:trPr>
        <w:tc>
          <w:tcPr>
            <w:tcW w:w="10008" w:type="dxa"/>
            <w:shd w:val="clear" w:color="auto" w:fill="auto"/>
          </w:tcPr>
          <w:p w:rsidR="006915DB" w:rsidRDefault="006915DB" w:rsidP="006915DB">
            <w:r>
              <w:t xml:space="preserve">Ensure safe and clean operating area, loader always lowered when dismounting front end loader, if other person in area make sure they are always in sight and you maintain communication, all maintenance and pre operating checkup has been done. </w:t>
            </w:r>
          </w:p>
        </w:tc>
      </w:tr>
      <w:tr w:rsidR="006915DB" w:rsidTr="0044615B">
        <w:trPr>
          <w:trHeight w:val="513"/>
        </w:trPr>
        <w:tc>
          <w:tcPr>
            <w:tcW w:w="10008" w:type="dxa"/>
            <w:shd w:val="clear" w:color="auto" w:fill="auto"/>
          </w:tcPr>
          <w:p w:rsidR="006915DB" w:rsidRDefault="006915DB" w:rsidP="006915DB">
            <w:r>
              <w:t>Employee must be trained, know their limits and the limits of the front end loader, other employees should stay clear when front end loader in use, not transport load to high, and tag out when needing service.</w:t>
            </w:r>
          </w:p>
        </w:tc>
      </w:tr>
      <w:tr w:rsidR="006915DB" w:rsidTr="0044615B">
        <w:trPr>
          <w:trHeight w:val="369"/>
        </w:trPr>
        <w:tc>
          <w:tcPr>
            <w:tcW w:w="10008" w:type="dxa"/>
            <w:shd w:val="clear" w:color="auto" w:fill="auto"/>
          </w:tcPr>
          <w:p w:rsidR="006915DB" w:rsidRDefault="006915DB" w:rsidP="006915DB">
            <w:r>
              <w:t>Steel toed boots, safety glasses, seatbelt.</w:t>
            </w:r>
          </w:p>
        </w:tc>
      </w:tr>
    </w:tbl>
    <w:p w:rsidR="006915DB" w:rsidRDefault="006915DB" w:rsidP="006915DB">
      <w:pPr>
        <w:pStyle w:val="BodyContent"/>
        <w:spacing w:before="0" w:beforeAutospacing="0" w:after="0" w:afterAutospacing="0" w:line="240" w:lineRule="auto"/>
        <w:ind w:right="1440"/>
        <w:rPr>
          <w:rFonts w:ascii="HelveticaNeueLT Std Lt Ext" w:hAnsi="HelveticaNeueLT Std Lt Ext"/>
        </w:rPr>
      </w:pPr>
    </w:p>
    <w:p w:rsidR="0044615B" w:rsidRDefault="0044615B" w:rsidP="006915D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915DB" w:rsidRPr="00277BE7" w:rsidTr="0044615B">
        <w:tc>
          <w:tcPr>
            <w:tcW w:w="10008" w:type="dxa"/>
            <w:shd w:val="clear" w:color="auto" w:fill="auto"/>
            <w:vAlign w:val="center"/>
          </w:tcPr>
          <w:p w:rsidR="006915DB" w:rsidRDefault="006915DB" w:rsidP="006915DB">
            <w:pPr>
              <w:pStyle w:val="Heading3"/>
            </w:pPr>
            <w:r w:rsidRPr="00277BE7">
              <w:t xml:space="preserve">Skill </w:t>
            </w:r>
            <w:r w:rsidR="00A6026F">
              <w:t>Level / Training Required to Perform the J</w:t>
            </w:r>
            <w:r w:rsidRPr="00277BE7">
              <w:t>ob</w:t>
            </w:r>
          </w:p>
          <w:p w:rsidR="006915DB" w:rsidRPr="0062478E" w:rsidRDefault="006915DB" w:rsidP="006915DB">
            <w:pPr>
              <w:pStyle w:val="Heading1"/>
            </w:pPr>
            <w:r>
              <w:t>(L</w:t>
            </w:r>
            <w:r w:rsidRPr="00CA6227">
              <w:t>ist training requirements</w:t>
            </w:r>
            <w:r>
              <w:t>)</w:t>
            </w:r>
          </w:p>
        </w:tc>
      </w:tr>
      <w:tr w:rsidR="006915DB" w:rsidTr="0044615B">
        <w:tc>
          <w:tcPr>
            <w:tcW w:w="10008" w:type="dxa"/>
            <w:shd w:val="clear" w:color="auto" w:fill="auto"/>
          </w:tcPr>
          <w:p w:rsidR="006915DB" w:rsidRDefault="006915DB" w:rsidP="006915DB">
            <w:r>
              <w:t>Employees must be properly trained and know how to properly operate front end loader in a safe and timely manner.</w:t>
            </w:r>
          </w:p>
        </w:tc>
      </w:tr>
      <w:tr w:rsidR="006915DB" w:rsidTr="0044615B">
        <w:tc>
          <w:tcPr>
            <w:tcW w:w="10008" w:type="dxa"/>
            <w:shd w:val="clear" w:color="auto" w:fill="auto"/>
          </w:tcPr>
          <w:p w:rsidR="006915DB" w:rsidRDefault="006915DB" w:rsidP="006915DB">
            <w:r>
              <w:t xml:space="preserve">Must possess a valid driver’s license. </w:t>
            </w:r>
          </w:p>
        </w:tc>
      </w:tr>
    </w:tbl>
    <w:p w:rsidR="006915DB" w:rsidRDefault="006915DB" w:rsidP="006915DB">
      <w:pPr>
        <w:pStyle w:val="BodyContent"/>
        <w:spacing w:before="0" w:beforeAutospacing="0" w:after="0" w:afterAutospacing="0" w:line="240" w:lineRule="auto"/>
        <w:ind w:right="1440"/>
        <w:rPr>
          <w:rFonts w:ascii="HelveticaNeueLT Std Lt Ext" w:hAnsi="HelveticaNeueLT Std Lt Ext"/>
        </w:rPr>
      </w:pPr>
    </w:p>
    <w:p w:rsidR="0044615B" w:rsidRDefault="0044615B" w:rsidP="006915D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915DB" w:rsidRPr="00CA6227" w:rsidTr="0044615B">
        <w:tc>
          <w:tcPr>
            <w:tcW w:w="10008" w:type="dxa"/>
            <w:shd w:val="clear" w:color="auto" w:fill="auto"/>
          </w:tcPr>
          <w:p w:rsidR="006915DB" w:rsidRDefault="00A6026F" w:rsidP="00A6026F">
            <w:pPr>
              <w:pStyle w:val="Heading3"/>
            </w:pPr>
            <w:r>
              <w:t>Communications P</w:t>
            </w:r>
            <w:r w:rsidR="006915DB" w:rsidRPr="00CA6227">
              <w:t>rocess</w:t>
            </w:r>
            <w:r w:rsidR="006915DB">
              <w:t>es</w:t>
            </w:r>
          </w:p>
          <w:p w:rsidR="006915DB" w:rsidRPr="0062478E" w:rsidRDefault="006915DB" w:rsidP="00A6026F">
            <w:pPr>
              <w:pStyle w:val="Heading1"/>
            </w:pPr>
            <w:r>
              <w:t>(C</w:t>
            </w:r>
            <w:r w:rsidRPr="00CA6227">
              <w:t>onsider working alone, further instructions, concerns, how will assistance be delivered)</w:t>
            </w:r>
          </w:p>
        </w:tc>
      </w:tr>
      <w:tr w:rsidR="006915DB" w:rsidTr="0044615B">
        <w:tc>
          <w:tcPr>
            <w:tcW w:w="10008" w:type="dxa"/>
            <w:shd w:val="clear" w:color="auto" w:fill="auto"/>
          </w:tcPr>
          <w:p w:rsidR="006915DB" w:rsidRDefault="006915DB" w:rsidP="00A6026F">
            <w:r w:rsidRPr="00533C53">
              <w:t>Two way radio with the lead hand or manager, any questions or concerns or problems must be reported immediately.</w:t>
            </w:r>
          </w:p>
        </w:tc>
      </w:tr>
      <w:tr w:rsidR="006915DB" w:rsidTr="0044615B">
        <w:tc>
          <w:tcPr>
            <w:tcW w:w="10008" w:type="dxa"/>
            <w:shd w:val="clear" w:color="auto" w:fill="auto"/>
          </w:tcPr>
          <w:p w:rsidR="006915DB" w:rsidRDefault="006915DB" w:rsidP="00A6026F">
            <w:r>
              <w:t>When working remotely or away from other workers operator must call in to Ashton at the agreed upon time intervals.  If Ashton does not hear from the operator within 10 minutes of the specified time Ashton will contact the operator, if there is no reply Ashton or his designate will immediately go the work location.</w:t>
            </w:r>
          </w:p>
        </w:tc>
      </w:tr>
    </w:tbl>
    <w:p w:rsidR="006915DB" w:rsidRDefault="006915DB" w:rsidP="006915DB">
      <w:pPr>
        <w:pStyle w:val="BodyContent"/>
        <w:spacing w:before="0" w:beforeAutospacing="0" w:after="0" w:afterAutospacing="0" w:line="240" w:lineRule="auto"/>
        <w:ind w:right="1440"/>
        <w:rPr>
          <w:rFonts w:ascii="HelveticaNeueLT Std Lt Ext" w:hAnsi="HelveticaNeueLT Std Lt Ext"/>
        </w:rPr>
      </w:pPr>
    </w:p>
    <w:p w:rsidR="0044615B" w:rsidRDefault="0044615B" w:rsidP="006915D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915DB" w:rsidRPr="00CA6227" w:rsidTr="0044615B">
        <w:tc>
          <w:tcPr>
            <w:tcW w:w="10008" w:type="dxa"/>
            <w:shd w:val="clear" w:color="auto" w:fill="auto"/>
          </w:tcPr>
          <w:p w:rsidR="006915DB" w:rsidRDefault="006915DB" w:rsidP="00A6026F">
            <w:pPr>
              <w:pStyle w:val="Heading3"/>
            </w:pPr>
            <w:r>
              <w:t>Emergency Procedures</w:t>
            </w:r>
          </w:p>
          <w:p w:rsidR="006915DB" w:rsidRPr="0062478E" w:rsidRDefault="006915DB" w:rsidP="00A6026F">
            <w:pPr>
              <w:pStyle w:val="Heading1"/>
            </w:pPr>
            <w:r>
              <w:t>(C</w:t>
            </w:r>
            <w:r w:rsidRPr="00CA6227">
              <w:t xml:space="preserve">onsider </w:t>
            </w:r>
            <w:r>
              <w:t>how the worker will initiate an emergency response</w:t>
            </w:r>
            <w:r w:rsidRPr="00CA6227">
              <w:t>)</w:t>
            </w:r>
          </w:p>
        </w:tc>
      </w:tr>
      <w:tr w:rsidR="006915DB" w:rsidTr="0044615B">
        <w:tc>
          <w:tcPr>
            <w:tcW w:w="10008" w:type="dxa"/>
            <w:shd w:val="clear" w:color="auto" w:fill="auto"/>
          </w:tcPr>
          <w:p w:rsidR="006915DB" w:rsidRDefault="006915DB" w:rsidP="00A6026F">
            <w:r>
              <w:t>All injuries and emergency situations must be reported to the manager.</w:t>
            </w:r>
          </w:p>
        </w:tc>
      </w:tr>
      <w:tr w:rsidR="006915DB" w:rsidTr="0044615B">
        <w:tc>
          <w:tcPr>
            <w:tcW w:w="10008" w:type="dxa"/>
            <w:shd w:val="clear" w:color="auto" w:fill="auto"/>
          </w:tcPr>
          <w:p w:rsidR="006915DB" w:rsidRDefault="006915DB" w:rsidP="00A6026F">
            <w:r>
              <w:t>Workers must not endanger themselves or others in emergency situation. Seek protection, treat any injuries with supplied first aid and call for help immediately.</w:t>
            </w:r>
          </w:p>
        </w:tc>
      </w:tr>
    </w:tbl>
    <w:p w:rsidR="006915DB" w:rsidRDefault="006915DB" w:rsidP="006915DB">
      <w:pPr>
        <w:pStyle w:val="BodyContent"/>
        <w:spacing w:before="0" w:beforeAutospacing="0" w:after="0" w:afterAutospacing="0" w:line="240" w:lineRule="auto"/>
        <w:ind w:right="1440"/>
        <w:rPr>
          <w:rFonts w:ascii="HelveticaNeueLT Std Lt Ext" w:hAnsi="HelveticaNeueLT Std Lt Ext"/>
        </w:rPr>
      </w:pPr>
    </w:p>
    <w:p w:rsidR="0044615B" w:rsidRDefault="0044615B" w:rsidP="006915D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915DB" w:rsidRPr="00CA6227" w:rsidTr="0044615B">
        <w:tc>
          <w:tcPr>
            <w:tcW w:w="10008" w:type="dxa"/>
            <w:shd w:val="clear" w:color="auto" w:fill="auto"/>
          </w:tcPr>
          <w:p w:rsidR="006915DB" w:rsidRDefault="006915DB" w:rsidP="00A6026F">
            <w:pPr>
              <w:pStyle w:val="Heading3"/>
            </w:pPr>
            <w:r>
              <w:t>Expected Result</w:t>
            </w:r>
          </w:p>
          <w:p w:rsidR="006915DB" w:rsidRPr="0062478E" w:rsidRDefault="006915DB" w:rsidP="00A6026F">
            <w:pPr>
              <w:pStyle w:val="Heading1"/>
            </w:pPr>
            <w:r>
              <w:t>(C</w:t>
            </w:r>
            <w:r w:rsidRPr="00CA6227">
              <w:t xml:space="preserve">onsider </w:t>
            </w:r>
            <w:r>
              <w:t>the benefits of the Standard Operating Practice for farm operations</w:t>
            </w:r>
            <w:r w:rsidRPr="00CA6227">
              <w:t>)</w:t>
            </w:r>
          </w:p>
        </w:tc>
      </w:tr>
      <w:tr w:rsidR="006915DB" w:rsidTr="0044615B">
        <w:tc>
          <w:tcPr>
            <w:tcW w:w="10008" w:type="dxa"/>
            <w:shd w:val="clear" w:color="auto" w:fill="auto"/>
          </w:tcPr>
          <w:p w:rsidR="006915DB" w:rsidRDefault="006915DB" w:rsidP="00A6026F">
            <w:r>
              <w:t>Safe operating and properly maintained equipment will ensure job is done in a safe and timely manner. Ensure maintenance and pre operating check is done.</w:t>
            </w:r>
          </w:p>
        </w:tc>
      </w:tr>
      <w:tr w:rsidR="006915DB" w:rsidTr="0044615B">
        <w:tc>
          <w:tcPr>
            <w:tcW w:w="10008" w:type="dxa"/>
            <w:shd w:val="clear" w:color="auto" w:fill="auto"/>
          </w:tcPr>
          <w:p w:rsidR="006915DB" w:rsidRDefault="006915DB" w:rsidP="00A6026F">
            <w:r>
              <w:t>Consistent and safe work will prevent any injuries.</w:t>
            </w:r>
          </w:p>
        </w:tc>
      </w:tr>
    </w:tbl>
    <w:p w:rsidR="00722EE2" w:rsidRDefault="00722EE2" w:rsidP="0044615B">
      <w:bookmarkStart w:id="0" w:name="_GoBack"/>
      <w:bookmarkEnd w:id="0"/>
    </w:p>
    <w:sectPr w:rsidR="00722EE2" w:rsidSect="0044615B">
      <w:headerReference w:type="default" r:id="rId11"/>
      <w:footerReference w:type="default" r:id="rId12"/>
      <w:type w:val="continuous"/>
      <w:pgSz w:w="12240" w:h="15840" w:code="1"/>
      <w:pgMar w:top="1385" w:right="0" w:bottom="108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5B" w:rsidRPr="00F42EE1" w:rsidRDefault="0044615B" w:rsidP="0044615B">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44615B" w:rsidRPr="00F42EE1" w:rsidRDefault="0044615B" w:rsidP="0044615B">
    <w:r w:rsidRPr="00F42EE1">
      <w:rPr>
        <w:noProof/>
      </w:rPr>
      <w:drawing>
        <wp:inline distT="0" distB="0" distL="0" distR="0" wp14:anchorId="4C6B0CC2" wp14:editId="41D541DF">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44615B" w:rsidRPr="00F42EE1" w:rsidRDefault="0044615B" w:rsidP="0044615B">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3</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15B" w:rsidRPr="00151061" w:rsidRDefault="0044615B" w:rsidP="0044615B">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8025AD3" wp14:editId="3D634431">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243BE917" wp14:editId="2969D04D">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904AF"/>
    <w:rsid w:val="001A6E0A"/>
    <w:rsid w:val="001C23F0"/>
    <w:rsid w:val="00207049"/>
    <w:rsid w:val="002114C2"/>
    <w:rsid w:val="00226581"/>
    <w:rsid w:val="0023401F"/>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4615B"/>
    <w:rsid w:val="00470B77"/>
    <w:rsid w:val="0047797D"/>
    <w:rsid w:val="004B524C"/>
    <w:rsid w:val="004E1045"/>
    <w:rsid w:val="004F19B3"/>
    <w:rsid w:val="004F6232"/>
    <w:rsid w:val="00530203"/>
    <w:rsid w:val="00555736"/>
    <w:rsid w:val="00592BB8"/>
    <w:rsid w:val="005960AF"/>
    <w:rsid w:val="005A334A"/>
    <w:rsid w:val="005D5FC0"/>
    <w:rsid w:val="0060054E"/>
    <w:rsid w:val="0062478E"/>
    <w:rsid w:val="00684AB8"/>
    <w:rsid w:val="006915DB"/>
    <w:rsid w:val="00692A9D"/>
    <w:rsid w:val="006B2894"/>
    <w:rsid w:val="006B3AF4"/>
    <w:rsid w:val="006C4E46"/>
    <w:rsid w:val="006E094F"/>
    <w:rsid w:val="006E5646"/>
    <w:rsid w:val="00722EE2"/>
    <w:rsid w:val="007708FE"/>
    <w:rsid w:val="007D3774"/>
    <w:rsid w:val="00812266"/>
    <w:rsid w:val="00815FD0"/>
    <w:rsid w:val="00892665"/>
    <w:rsid w:val="008A1E58"/>
    <w:rsid w:val="008C423D"/>
    <w:rsid w:val="00902C7B"/>
    <w:rsid w:val="00952CDC"/>
    <w:rsid w:val="009D6E84"/>
    <w:rsid w:val="00A6026F"/>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42CD0"/>
    <w:rsid w:val="00E431BD"/>
    <w:rsid w:val="00EB5336"/>
    <w:rsid w:val="00EB59BA"/>
    <w:rsid w:val="00ED40C8"/>
    <w:rsid w:val="00ED5DB3"/>
    <w:rsid w:val="00F07894"/>
    <w:rsid w:val="00F273D8"/>
    <w:rsid w:val="00F55597"/>
    <w:rsid w:val="00F60008"/>
    <w:rsid w:val="00F83F41"/>
    <w:rsid w:val="00F871C5"/>
    <w:rsid w:val="00F96F63"/>
    <w:rsid w:val="00FA347C"/>
    <w:rsid w:val="00FA3A4C"/>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15B"/>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44615B"/>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44615B"/>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44615B"/>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C1698B-E5DA-4BA2-8E15-2E7C89A4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531</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2018-06-04T20:39:00Z</dcterms:created>
  <dcterms:modified xsi:type="dcterms:W3CDTF">2018-06-05T19:35:00Z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AGUCMINT-3614584</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3804093</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http://agucm.agric.gov.ab.ca/cs/idcplg?IdcService=DESKTOP_DOC_INFO&amp;dDocName=AGUCMINT-3614584&amp;dID=3804093&amp;ClientControlled=DocMan,taskpane&amp;coreContentOnly=1</vt:lpwstr>
  </property>
</Properties>
</file>